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84A7A" w14:textId="77777777" w:rsidR="00692362" w:rsidRPr="00C4545D" w:rsidRDefault="00692362" w:rsidP="00C4545D">
      <w:pPr>
        <w:rPr>
          <w:rFonts w:ascii="Lato" w:hAnsi="Lato" w:cs="Arial"/>
        </w:rPr>
      </w:pPr>
    </w:p>
    <w:p w14:paraId="2B4DD601" w14:textId="77777777" w:rsidR="00433D56" w:rsidRPr="00C4545D" w:rsidRDefault="00433D56" w:rsidP="00C4545D">
      <w:pPr>
        <w:rPr>
          <w:rFonts w:ascii="Lato" w:hAnsi="Lato" w:cs="Arial"/>
        </w:rPr>
      </w:pPr>
    </w:p>
    <w:p w14:paraId="6417BA3B" w14:textId="77777777" w:rsidR="00433D56" w:rsidRPr="00C4545D" w:rsidRDefault="00433D56" w:rsidP="00C4545D">
      <w:pPr>
        <w:rPr>
          <w:rFonts w:ascii="Lato" w:hAnsi="Lato" w:cs="Arial"/>
        </w:rPr>
      </w:pPr>
    </w:p>
    <w:p w14:paraId="7D50496A" w14:textId="77777777" w:rsidR="00384B24" w:rsidRPr="00C4545D" w:rsidRDefault="00384B24" w:rsidP="00C4545D">
      <w:pPr>
        <w:spacing w:before="120" w:after="120"/>
        <w:ind w:right="283"/>
        <w:rPr>
          <w:rFonts w:ascii="Lato" w:hAnsi="Lato"/>
        </w:rPr>
      </w:pPr>
    </w:p>
    <w:p w14:paraId="0C1D5B80" w14:textId="77777777" w:rsidR="00384B24" w:rsidRPr="00C4545D" w:rsidRDefault="00384B24" w:rsidP="00C4545D">
      <w:pPr>
        <w:rPr>
          <w:rFonts w:ascii="Lato" w:hAnsi="Lato"/>
        </w:rPr>
      </w:pPr>
    </w:p>
    <w:p w14:paraId="5D4BF7DE" w14:textId="77777777" w:rsidR="00384B24" w:rsidRPr="00C4545D" w:rsidRDefault="00384B24" w:rsidP="00C4545D">
      <w:pPr>
        <w:rPr>
          <w:rFonts w:ascii="Lato" w:hAnsi="Lato"/>
        </w:rPr>
      </w:pPr>
    </w:p>
    <w:p w14:paraId="4670EC98" w14:textId="77777777" w:rsidR="00384B24" w:rsidRPr="00C4545D" w:rsidRDefault="00384B24" w:rsidP="00C4545D">
      <w:pPr>
        <w:rPr>
          <w:rFonts w:ascii="Lato" w:hAnsi="Lato"/>
        </w:rPr>
      </w:pPr>
    </w:p>
    <w:p w14:paraId="7531611A" w14:textId="77777777" w:rsidR="00384B24" w:rsidRPr="00C4545D" w:rsidRDefault="00384B24" w:rsidP="00C4545D">
      <w:pPr>
        <w:rPr>
          <w:rFonts w:ascii="Lato" w:hAnsi="Lato"/>
        </w:rPr>
      </w:pPr>
    </w:p>
    <w:p w14:paraId="02671324" w14:textId="77777777" w:rsidR="00384B24" w:rsidRPr="00C4545D" w:rsidRDefault="00384B24" w:rsidP="00C4545D">
      <w:pPr>
        <w:rPr>
          <w:rFonts w:ascii="Lato" w:hAnsi="Lato"/>
        </w:rPr>
      </w:pPr>
    </w:p>
    <w:p w14:paraId="475606BF" w14:textId="77777777" w:rsidR="00384B24" w:rsidRPr="00C4545D" w:rsidRDefault="00384B24" w:rsidP="00C4545D">
      <w:pPr>
        <w:rPr>
          <w:rFonts w:ascii="Lato" w:hAnsi="Lato"/>
        </w:rPr>
      </w:pPr>
    </w:p>
    <w:p w14:paraId="4A4DAFD8" w14:textId="77777777" w:rsidR="00384B24" w:rsidRPr="00C4545D" w:rsidRDefault="00384B24" w:rsidP="00C4545D">
      <w:pPr>
        <w:rPr>
          <w:rFonts w:ascii="Lato" w:hAnsi="Lato"/>
        </w:rPr>
      </w:pPr>
    </w:p>
    <w:p w14:paraId="215FD5E0" w14:textId="77777777" w:rsidR="00384B24" w:rsidRPr="00C4545D" w:rsidRDefault="00384B24" w:rsidP="00C4545D">
      <w:pPr>
        <w:rPr>
          <w:rFonts w:ascii="Lato" w:hAnsi="Lato"/>
        </w:rPr>
      </w:pPr>
    </w:p>
    <w:p w14:paraId="749CB522" w14:textId="77777777" w:rsidR="00384B24" w:rsidRPr="00C4545D" w:rsidRDefault="00384B24" w:rsidP="00C4545D">
      <w:pPr>
        <w:rPr>
          <w:rFonts w:ascii="Lato" w:hAnsi="Lato"/>
        </w:rPr>
      </w:pPr>
    </w:p>
    <w:p w14:paraId="3ADDD37C" w14:textId="77777777" w:rsidR="00384B24" w:rsidRPr="00C4545D" w:rsidRDefault="00384B24" w:rsidP="00C4545D">
      <w:pPr>
        <w:rPr>
          <w:rFonts w:ascii="Lato" w:hAnsi="Lato"/>
        </w:rPr>
      </w:pPr>
    </w:p>
    <w:p w14:paraId="6B0718E1" w14:textId="77777777" w:rsidR="00384B24" w:rsidRPr="00C4545D" w:rsidRDefault="00384B24" w:rsidP="00C4545D">
      <w:pPr>
        <w:rPr>
          <w:rFonts w:ascii="Lato" w:hAnsi="Lato"/>
        </w:rPr>
      </w:pPr>
    </w:p>
    <w:p w14:paraId="0A5271F8" w14:textId="77777777" w:rsidR="00384B24" w:rsidRPr="00C4545D" w:rsidRDefault="00384B24" w:rsidP="00C4545D">
      <w:pPr>
        <w:rPr>
          <w:rFonts w:ascii="Lato" w:hAnsi="Lato"/>
        </w:rPr>
      </w:pPr>
    </w:p>
    <w:p w14:paraId="17EADEE2" w14:textId="77777777" w:rsidR="00384B24" w:rsidRPr="00C4545D" w:rsidRDefault="00384B24" w:rsidP="00C4545D">
      <w:pPr>
        <w:rPr>
          <w:rFonts w:ascii="Lato" w:hAnsi="Lato"/>
        </w:rPr>
      </w:pPr>
    </w:p>
    <w:p w14:paraId="287548E3" w14:textId="77777777" w:rsidR="00384B24" w:rsidRPr="00C4545D" w:rsidRDefault="00384B24" w:rsidP="00C4545D">
      <w:pPr>
        <w:rPr>
          <w:rFonts w:ascii="Lato" w:hAnsi="Lato"/>
        </w:rPr>
      </w:pPr>
    </w:p>
    <w:p w14:paraId="3679FC90" w14:textId="77777777" w:rsidR="00384B24" w:rsidRPr="00C4545D" w:rsidRDefault="00384B24" w:rsidP="00C4545D">
      <w:pPr>
        <w:tabs>
          <w:tab w:val="left" w:pos="5409"/>
        </w:tabs>
        <w:spacing w:before="120" w:after="120"/>
        <w:ind w:right="283"/>
        <w:rPr>
          <w:rFonts w:ascii="Lato" w:hAnsi="Lato"/>
        </w:rPr>
      </w:pPr>
      <w:r w:rsidRPr="00C4545D">
        <w:rPr>
          <w:rFonts w:ascii="Lato" w:hAnsi="Lato"/>
        </w:rPr>
        <w:tab/>
      </w:r>
    </w:p>
    <w:p w14:paraId="00DB00D3" w14:textId="77777777" w:rsidR="00384B24" w:rsidRPr="00C4545D" w:rsidRDefault="00384B24" w:rsidP="00C4545D">
      <w:pPr>
        <w:rPr>
          <w:rFonts w:ascii="Lato" w:hAnsi="Lato" w:cs="Arial"/>
        </w:rPr>
      </w:pPr>
    </w:p>
    <w:p w14:paraId="6CBB5054" w14:textId="77777777" w:rsidR="00384B24" w:rsidRPr="00C4545D" w:rsidRDefault="00384B24" w:rsidP="00C4545D">
      <w:pPr>
        <w:rPr>
          <w:rFonts w:ascii="Lato" w:hAnsi="Lato" w:cs="Arial"/>
        </w:rPr>
      </w:pPr>
    </w:p>
    <w:p w14:paraId="690590C3" w14:textId="77777777" w:rsidR="0015733E" w:rsidRPr="00C4545D" w:rsidRDefault="0015733E" w:rsidP="00C4545D">
      <w:pPr>
        <w:rPr>
          <w:rFonts w:ascii="Lato" w:hAnsi="Lato" w:cs="Arial"/>
        </w:rPr>
      </w:pPr>
    </w:p>
    <w:p w14:paraId="158F83F3" w14:textId="77777777" w:rsidR="0015733E" w:rsidRPr="00C4545D" w:rsidRDefault="0015733E" w:rsidP="00C4545D">
      <w:pPr>
        <w:rPr>
          <w:rFonts w:ascii="Lato" w:hAnsi="Lato" w:cs="Arial"/>
        </w:rPr>
      </w:pPr>
    </w:p>
    <w:p w14:paraId="3DC5C576" w14:textId="77777777" w:rsidR="0015733E" w:rsidRPr="00C4545D" w:rsidRDefault="0015733E" w:rsidP="00C4545D">
      <w:pPr>
        <w:rPr>
          <w:rFonts w:ascii="Lato" w:hAnsi="Lato" w:cs="Arial"/>
        </w:rPr>
      </w:pPr>
    </w:p>
    <w:p w14:paraId="673524F2" w14:textId="77777777" w:rsidR="0015733E" w:rsidRPr="00C4545D" w:rsidRDefault="00374E88" w:rsidP="00C4545D">
      <w:pPr>
        <w:tabs>
          <w:tab w:val="left" w:pos="7605"/>
        </w:tabs>
        <w:rPr>
          <w:rFonts w:ascii="Lato" w:hAnsi="Lato" w:cs="Arial"/>
        </w:rPr>
      </w:pPr>
      <w:r w:rsidRPr="00C4545D">
        <w:rPr>
          <w:rFonts w:ascii="Lato" w:hAnsi="Lato" w:cs="Arial"/>
        </w:rPr>
        <w:tab/>
      </w:r>
    </w:p>
    <w:p w14:paraId="7CD73306" w14:textId="77777777" w:rsidR="0015733E" w:rsidRPr="00C4545D" w:rsidRDefault="0015733E" w:rsidP="00C4545D">
      <w:pPr>
        <w:rPr>
          <w:rFonts w:ascii="Lato" w:hAnsi="Lato" w:cs="Arial"/>
        </w:rPr>
      </w:pPr>
    </w:p>
    <w:p w14:paraId="66CD6896" w14:textId="77777777" w:rsidR="0015733E" w:rsidRPr="00C4545D" w:rsidRDefault="0015733E" w:rsidP="00C4545D">
      <w:pPr>
        <w:rPr>
          <w:rFonts w:ascii="Lato" w:hAnsi="Lato" w:cs="Arial"/>
        </w:rPr>
      </w:pPr>
    </w:p>
    <w:p w14:paraId="7132229F" w14:textId="77777777" w:rsidR="0015733E" w:rsidRPr="00C4545D" w:rsidRDefault="0015733E" w:rsidP="00C4545D">
      <w:pPr>
        <w:rPr>
          <w:rFonts w:ascii="Lato" w:hAnsi="Lato" w:cs="Arial"/>
        </w:rPr>
      </w:pPr>
    </w:p>
    <w:p w14:paraId="2B672FB0" w14:textId="77777777" w:rsidR="0015733E" w:rsidRPr="00C4545D" w:rsidRDefault="0015733E" w:rsidP="00C4545D">
      <w:pPr>
        <w:rPr>
          <w:rFonts w:ascii="Lato" w:hAnsi="Lato" w:cs="Arial"/>
        </w:rPr>
      </w:pPr>
    </w:p>
    <w:p w14:paraId="309D4B94" w14:textId="77777777" w:rsidR="0015733E" w:rsidRPr="00C4545D" w:rsidRDefault="0015733E" w:rsidP="00C4545D">
      <w:pPr>
        <w:rPr>
          <w:rFonts w:ascii="Lato" w:hAnsi="Lato" w:cs="Arial"/>
        </w:rPr>
      </w:pPr>
    </w:p>
    <w:p w14:paraId="1D694209" w14:textId="77777777" w:rsidR="0015733E" w:rsidRPr="00C4545D" w:rsidRDefault="0015733E" w:rsidP="00C4545D">
      <w:pPr>
        <w:rPr>
          <w:rFonts w:ascii="Lato" w:hAnsi="Lato" w:cs="Arial"/>
        </w:rPr>
      </w:pPr>
    </w:p>
    <w:p w14:paraId="6A1721DE" w14:textId="77777777" w:rsidR="0015733E" w:rsidRPr="00C4545D" w:rsidRDefault="0015733E" w:rsidP="00C4545D">
      <w:pPr>
        <w:rPr>
          <w:rFonts w:ascii="Lato" w:hAnsi="Lato" w:cs="Arial"/>
        </w:rPr>
      </w:pPr>
    </w:p>
    <w:p w14:paraId="147B303F" w14:textId="77777777" w:rsidR="0015733E" w:rsidRPr="00C4545D" w:rsidRDefault="0015733E" w:rsidP="00C4545D">
      <w:pPr>
        <w:rPr>
          <w:rFonts w:ascii="Lato" w:hAnsi="Lato" w:cs="Arial"/>
        </w:rPr>
      </w:pPr>
    </w:p>
    <w:p w14:paraId="54F69842" w14:textId="77777777" w:rsidR="0015733E" w:rsidRPr="00C4545D" w:rsidRDefault="0015733E" w:rsidP="00C4545D">
      <w:pPr>
        <w:rPr>
          <w:rFonts w:ascii="Lato" w:hAnsi="Lato" w:cs="Arial"/>
        </w:rPr>
      </w:pPr>
    </w:p>
    <w:p w14:paraId="133BFEBC" w14:textId="77777777" w:rsidR="0015733E" w:rsidRPr="00C4545D" w:rsidRDefault="0015733E" w:rsidP="00C4545D">
      <w:pPr>
        <w:rPr>
          <w:rFonts w:ascii="Lato" w:hAnsi="Lato" w:cs="Arial"/>
        </w:rPr>
      </w:pPr>
    </w:p>
    <w:p w14:paraId="7FA83534" w14:textId="77777777" w:rsidR="0015733E" w:rsidRPr="00C4545D" w:rsidRDefault="0015733E" w:rsidP="00C4545D">
      <w:pPr>
        <w:rPr>
          <w:rFonts w:ascii="Lato" w:hAnsi="Lato" w:cs="Arial"/>
        </w:rPr>
      </w:pPr>
    </w:p>
    <w:p w14:paraId="730E13F5" w14:textId="77777777" w:rsidR="0015733E" w:rsidRPr="00C4545D" w:rsidRDefault="0015733E" w:rsidP="00C4545D">
      <w:pPr>
        <w:rPr>
          <w:rFonts w:ascii="Lato" w:hAnsi="Lato" w:cs="Arial"/>
        </w:rPr>
      </w:pPr>
    </w:p>
    <w:p w14:paraId="7E2098CF" w14:textId="77777777" w:rsidR="0015733E" w:rsidRPr="00C4545D" w:rsidRDefault="0015733E" w:rsidP="00C4545D">
      <w:pPr>
        <w:rPr>
          <w:rFonts w:ascii="Lato" w:hAnsi="Lato" w:cs="Arial"/>
        </w:rPr>
      </w:pPr>
    </w:p>
    <w:p w14:paraId="43933250" w14:textId="77777777" w:rsidR="0015733E" w:rsidRPr="00C4545D" w:rsidRDefault="0015733E" w:rsidP="00C4545D">
      <w:pPr>
        <w:rPr>
          <w:rFonts w:ascii="Lato" w:hAnsi="Lato" w:cs="Arial"/>
        </w:rPr>
      </w:pPr>
    </w:p>
    <w:p w14:paraId="00FDFD4F" w14:textId="77777777" w:rsidR="0015733E" w:rsidRPr="00C4545D" w:rsidRDefault="0015733E" w:rsidP="00C4545D">
      <w:pPr>
        <w:rPr>
          <w:rFonts w:ascii="Lato" w:hAnsi="Lato" w:cs="Arial"/>
        </w:rPr>
      </w:pPr>
    </w:p>
    <w:p w14:paraId="2AEB75CD" w14:textId="77777777" w:rsidR="0015733E" w:rsidRPr="00C4545D" w:rsidRDefault="0015733E" w:rsidP="00C4545D">
      <w:pPr>
        <w:rPr>
          <w:rFonts w:ascii="Lato" w:hAnsi="Lato" w:cs="Arial"/>
        </w:rPr>
      </w:pPr>
    </w:p>
    <w:p w14:paraId="2612F27F" w14:textId="77777777" w:rsidR="0015733E" w:rsidRPr="00C4545D" w:rsidRDefault="0015733E" w:rsidP="00C4545D">
      <w:pPr>
        <w:rPr>
          <w:rFonts w:ascii="Lato" w:hAnsi="Lato" w:cs="Arial"/>
        </w:rPr>
      </w:pPr>
    </w:p>
    <w:p w14:paraId="3FEDB9E2" w14:textId="77777777" w:rsidR="0015733E" w:rsidRPr="00C4545D" w:rsidRDefault="0015733E" w:rsidP="00C4545D">
      <w:pPr>
        <w:rPr>
          <w:rFonts w:ascii="Lato" w:hAnsi="Lato" w:cs="Arial"/>
        </w:rPr>
      </w:pPr>
    </w:p>
    <w:p w14:paraId="1E00D6BA" w14:textId="77777777" w:rsidR="0015733E" w:rsidRPr="00C4545D" w:rsidRDefault="0015733E" w:rsidP="00C4545D">
      <w:pPr>
        <w:rPr>
          <w:rFonts w:ascii="Lato" w:hAnsi="Lato" w:cs="Arial"/>
        </w:rPr>
      </w:pPr>
    </w:p>
    <w:p w14:paraId="213A619B" w14:textId="77777777" w:rsidR="007177C6" w:rsidRPr="00C4545D" w:rsidRDefault="00656694" w:rsidP="00C4545D">
      <w:pPr>
        <w:pStyle w:val="Nagwek1"/>
        <w:jc w:val="left"/>
        <w:rPr>
          <w:rFonts w:ascii="Lato" w:hAnsi="Lato"/>
        </w:rPr>
      </w:pPr>
      <w:r w:rsidRPr="00C4545D">
        <w:rPr>
          <w:rFonts w:ascii="Lato" w:hAnsi="Lato"/>
        </w:rPr>
        <w:br w:type="page"/>
      </w:r>
      <w:bookmarkStart w:id="0" w:name="_Toc302717044"/>
      <w:bookmarkStart w:id="1" w:name="_Toc459797896"/>
      <w:r w:rsidR="007177C6" w:rsidRPr="00C4545D">
        <w:rPr>
          <w:rFonts w:ascii="Lato" w:hAnsi="Lato"/>
        </w:rPr>
        <w:t>Przepisy i wytyczne odnoszące się procedury końcowego przeznaczenia:</w:t>
      </w:r>
      <w:bookmarkEnd w:id="0"/>
      <w:bookmarkEnd w:id="1"/>
    </w:p>
    <w:p w14:paraId="57BF4E73" w14:textId="77777777" w:rsidR="007177C6" w:rsidRPr="00C4545D" w:rsidRDefault="007177C6" w:rsidP="00C4545D">
      <w:pPr>
        <w:numPr>
          <w:ilvl w:val="0"/>
          <w:numId w:val="3"/>
        </w:numPr>
        <w:spacing w:before="120" w:after="120"/>
        <w:ind w:left="567" w:hanging="567"/>
        <w:rPr>
          <w:rFonts w:ascii="Lato" w:hAnsi="Lato"/>
          <w:szCs w:val="22"/>
        </w:rPr>
      </w:pPr>
      <w:r w:rsidRPr="00C4545D">
        <w:rPr>
          <w:rFonts w:ascii="Lato" w:hAnsi="Lato"/>
          <w:szCs w:val="22"/>
        </w:rPr>
        <w:t xml:space="preserve">art. 210-219, 221-225, 254 rozporządzenia Parlamentu Europejskiego i Rady (UE) nr 952/2013 z dnia 9 października 2013 r. ustanawiające unijny kodeks celny (Dz. Urz. UE L 269 z 10.10.2013 z </w:t>
      </w:r>
      <w:proofErr w:type="spellStart"/>
      <w:r w:rsidRPr="00C4545D">
        <w:rPr>
          <w:rFonts w:ascii="Lato" w:hAnsi="Lato"/>
          <w:szCs w:val="22"/>
        </w:rPr>
        <w:t>późn</w:t>
      </w:r>
      <w:proofErr w:type="spellEnd"/>
      <w:r w:rsidRPr="00C4545D">
        <w:rPr>
          <w:rFonts w:ascii="Lato" w:hAnsi="Lato"/>
          <w:szCs w:val="22"/>
        </w:rPr>
        <w:t>. zm.), zwanego dalej „UKC”,</w:t>
      </w:r>
    </w:p>
    <w:p w14:paraId="61317521" w14:textId="77777777" w:rsidR="007177C6" w:rsidRPr="00C4545D" w:rsidRDefault="007177C6" w:rsidP="00C4545D">
      <w:pPr>
        <w:numPr>
          <w:ilvl w:val="0"/>
          <w:numId w:val="3"/>
        </w:numPr>
        <w:spacing w:before="120" w:after="120"/>
        <w:ind w:left="567" w:hanging="567"/>
        <w:rPr>
          <w:rFonts w:ascii="Lato" w:hAnsi="Lato"/>
          <w:szCs w:val="22"/>
        </w:rPr>
      </w:pPr>
      <w:r w:rsidRPr="00C4545D">
        <w:rPr>
          <w:rFonts w:ascii="Lato" w:hAnsi="Lato"/>
          <w:szCs w:val="22"/>
        </w:rPr>
        <w:t xml:space="preserve">art. 161-164, 169, 171-175, 178-179, 183 rozporządzenia delegowanego Komisji (UE) nr 2015/2446 z dnia 28 lipca 2015 r. uzupełniającego rozporządzenie Parlamentu Europejskiego i Rady (UE) nr 952/2013 w odniesieniu do szczegółowych zasad dotyczących niektórych przepisów unijnego kodeksu celnego (Dz. Urz. UE L 343 </w:t>
      </w:r>
      <w:r w:rsidR="00044955" w:rsidRPr="00C4545D">
        <w:rPr>
          <w:rFonts w:ascii="Lato" w:hAnsi="Lato"/>
          <w:snapToGrid w:val="0"/>
          <w:lang w:eastAsia="pl-PL"/>
        </w:rPr>
        <w:t xml:space="preserve">z 29.12.2015 </w:t>
      </w:r>
      <w:r w:rsidRPr="00C4545D">
        <w:rPr>
          <w:rFonts w:ascii="Lato" w:hAnsi="Lato"/>
          <w:szCs w:val="22"/>
        </w:rPr>
        <w:t xml:space="preserve">z </w:t>
      </w:r>
      <w:proofErr w:type="spellStart"/>
      <w:r w:rsidRPr="00C4545D">
        <w:rPr>
          <w:rFonts w:ascii="Lato" w:hAnsi="Lato"/>
          <w:szCs w:val="22"/>
        </w:rPr>
        <w:t>późn</w:t>
      </w:r>
      <w:proofErr w:type="spellEnd"/>
      <w:r w:rsidRPr="00C4545D">
        <w:rPr>
          <w:rFonts w:ascii="Lato" w:hAnsi="Lato"/>
          <w:szCs w:val="22"/>
        </w:rPr>
        <w:t xml:space="preserve">. zm.), zwanego dalej </w:t>
      </w:r>
      <w:r w:rsidR="00044955" w:rsidRPr="00C4545D">
        <w:rPr>
          <w:rFonts w:ascii="Lato" w:hAnsi="Lato"/>
          <w:szCs w:val="22"/>
        </w:rPr>
        <w:t>„</w:t>
      </w:r>
      <w:r w:rsidRPr="00C4545D">
        <w:rPr>
          <w:rFonts w:ascii="Lato" w:hAnsi="Lato"/>
          <w:szCs w:val="22"/>
        </w:rPr>
        <w:t>RD</w:t>
      </w:r>
      <w:r w:rsidR="00044955" w:rsidRPr="00C4545D">
        <w:rPr>
          <w:rFonts w:ascii="Lato" w:hAnsi="Lato"/>
          <w:szCs w:val="22"/>
        </w:rPr>
        <w:t>”</w:t>
      </w:r>
      <w:r w:rsidRPr="00C4545D">
        <w:rPr>
          <w:rFonts w:ascii="Lato" w:hAnsi="Lato"/>
          <w:szCs w:val="22"/>
        </w:rPr>
        <w:t>,</w:t>
      </w:r>
    </w:p>
    <w:p w14:paraId="41676DA5" w14:textId="77777777" w:rsidR="00044955" w:rsidRPr="00C4545D" w:rsidRDefault="007177C6" w:rsidP="00C4545D">
      <w:pPr>
        <w:numPr>
          <w:ilvl w:val="0"/>
          <w:numId w:val="3"/>
        </w:numPr>
        <w:spacing w:before="120" w:after="120"/>
        <w:ind w:left="567" w:hanging="567"/>
        <w:rPr>
          <w:rFonts w:ascii="Lato" w:hAnsi="Lato"/>
          <w:szCs w:val="22"/>
        </w:rPr>
      </w:pPr>
      <w:r w:rsidRPr="00C4545D">
        <w:rPr>
          <w:rFonts w:ascii="Lato" w:hAnsi="Lato"/>
          <w:szCs w:val="22"/>
        </w:rPr>
        <w:t>art. 260</w:t>
      </w:r>
      <w:r w:rsidR="00044955" w:rsidRPr="00C4545D">
        <w:rPr>
          <w:rFonts w:ascii="Lato" w:hAnsi="Lato"/>
          <w:szCs w:val="22"/>
        </w:rPr>
        <w:t>-</w:t>
      </w:r>
      <w:r w:rsidRPr="00C4545D">
        <w:rPr>
          <w:rFonts w:ascii="Lato" w:hAnsi="Lato"/>
          <w:szCs w:val="22"/>
        </w:rPr>
        <w:t xml:space="preserve">268 rozporządzenia wykonawczego Komisji (UE) nr 2015/2447 z dnia 24 listopada 2015 r. ustanawiającego szczegółowe zasady wykonania niektórych przepisów rozporządzenia Parlamentu Europejskiego i Rady (UE) 952/2013 ustawiającego unijny kodeks celny (Dz. Urz. UE L 343 z 29.12.2015 z </w:t>
      </w:r>
      <w:proofErr w:type="spellStart"/>
      <w:r w:rsidRPr="00C4545D">
        <w:rPr>
          <w:rFonts w:ascii="Lato" w:hAnsi="Lato"/>
          <w:szCs w:val="22"/>
        </w:rPr>
        <w:t>późn</w:t>
      </w:r>
      <w:proofErr w:type="spellEnd"/>
      <w:r w:rsidRPr="00C4545D">
        <w:rPr>
          <w:rFonts w:ascii="Lato" w:hAnsi="Lato"/>
          <w:szCs w:val="22"/>
        </w:rPr>
        <w:t>. zm.), zwanego dalej „RW”,</w:t>
      </w:r>
    </w:p>
    <w:p w14:paraId="37E63A0B" w14:textId="15BAA7E3" w:rsidR="007177C6" w:rsidRPr="00C4545D" w:rsidRDefault="007177C6" w:rsidP="00C4545D">
      <w:pPr>
        <w:numPr>
          <w:ilvl w:val="0"/>
          <w:numId w:val="3"/>
        </w:numPr>
        <w:spacing w:before="120" w:after="120"/>
        <w:ind w:left="567" w:hanging="567"/>
        <w:rPr>
          <w:rFonts w:ascii="Lato" w:hAnsi="Lato"/>
          <w:szCs w:val="22"/>
        </w:rPr>
      </w:pPr>
      <w:r w:rsidRPr="00C4545D">
        <w:rPr>
          <w:rFonts w:ascii="Lato" w:hAnsi="Lato"/>
          <w:szCs w:val="22"/>
        </w:rPr>
        <w:t>art. 22 rozporządzenia delegowanego Komisji (UE) 2016/341 z dnia 17 grudnia 2015 r. uzupełniającego rozporządzenie Parlamentu Europejskiego i Rady (UE) nr 952/2013 w odniesieniu do przepisów przejściowych dotyczących niektórych przepisów unijnego kodeksu celnego w okresie, gdy nie działają jeszcze odpowiednie systemy teleinformatyczne, i zmieniające rozporządzenie delegowane Komisji (UE) 2015/2446 (Dz. U. UE L 69 z 15</w:t>
      </w:r>
      <w:r w:rsidR="00044955" w:rsidRPr="00C4545D">
        <w:rPr>
          <w:rFonts w:ascii="Lato" w:hAnsi="Lato"/>
          <w:szCs w:val="22"/>
        </w:rPr>
        <w:t>.03.</w:t>
      </w:r>
      <w:r w:rsidRPr="00C4545D">
        <w:rPr>
          <w:rFonts w:ascii="Lato" w:hAnsi="Lato"/>
          <w:szCs w:val="22"/>
        </w:rPr>
        <w:t xml:space="preserve">2016  z </w:t>
      </w:r>
      <w:proofErr w:type="spellStart"/>
      <w:r w:rsidRPr="00C4545D">
        <w:rPr>
          <w:rFonts w:ascii="Lato" w:hAnsi="Lato"/>
          <w:szCs w:val="22"/>
        </w:rPr>
        <w:t>późn</w:t>
      </w:r>
      <w:proofErr w:type="spellEnd"/>
      <w:r w:rsidRPr="00C4545D">
        <w:rPr>
          <w:rFonts w:ascii="Lato" w:hAnsi="Lato"/>
          <w:szCs w:val="22"/>
        </w:rPr>
        <w:t>. zm.), zwanego dalej „PRD”,</w:t>
      </w:r>
    </w:p>
    <w:p w14:paraId="164D8F71" w14:textId="77777777" w:rsidR="007177C6" w:rsidRPr="00C4545D" w:rsidRDefault="007177C6" w:rsidP="00C4545D">
      <w:pPr>
        <w:numPr>
          <w:ilvl w:val="0"/>
          <w:numId w:val="3"/>
        </w:numPr>
        <w:spacing w:before="120" w:after="120"/>
        <w:ind w:left="567" w:hanging="567"/>
        <w:rPr>
          <w:rFonts w:ascii="Lato" w:hAnsi="Lato"/>
          <w:szCs w:val="22"/>
        </w:rPr>
      </w:pPr>
      <w:r w:rsidRPr="00C4545D">
        <w:rPr>
          <w:rFonts w:ascii="Lato" w:hAnsi="Lato"/>
          <w:szCs w:val="22"/>
        </w:rPr>
        <w:t xml:space="preserve">postanowienia wstępne (sekcja II B i II F), określone w części pierwszej, załącznika I do rozporządzenia </w:t>
      </w:r>
      <w:r w:rsidRPr="00C4545D">
        <w:rPr>
          <w:rFonts w:ascii="Lato" w:hAnsi="Lato"/>
          <w:spacing w:val="3"/>
          <w:szCs w:val="22"/>
        </w:rPr>
        <w:t>Rady</w:t>
      </w:r>
      <w:r w:rsidRPr="00C4545D">
        <w:rPr>
          <w:rFonts w:ascii="Lato" w:hAnsi="Lato"/>
          <w:szCs w:val="22"/>
        </w:rPr>
        <w:t xml:space="preserve"> (EWG) nr 2658/87 w sprawie nomenklatury taryfowej i statystycznej oraz w sprawie Wspólnej Taryfy Celnej (Dz. U. L 256 z </w:t>
      </w:r>
      <w:r w:rsidR="00A11829" w:rsidRPr="00C4545D">
        <w:rPr>
          <w:rFonts w:ascii="Lato" w:hAnsi="Lato"/>
          <w:szCs w:val="22"/>
        </w:rPr>
        <w:t>0</w:t>
      </w:r>
      <w:r w:rsidRPr="00C4545D">
        <w:rPr>
          <w:rFonts w:ascii="Lato" w:hAnsi="Lato"/>
          <w:szCs w:val="22"/>
        </w:rPr>
        <w:t>7.</w:t>
      </w:r>
      <w:r w:rsidR="00A11829" w:rsidRPr="00C4545D">
        <w:rPr>
          <w:rFonts w:ascii="Lato" w:hAnsi="Lato"/>
          <w:szCs w:val="22"/>
        </w:rPr>
        <w:t>0</w:t>
      </w:r>
      <w:r w:rsidRPr="00C4545D">
        <w:rPr>
          <w:rFonts w:ascii="Lato" w:hAnsi="Lato"/>
          <w:szCs w:val="22"/>
        </w:rPr>
        <w:t xml:space="preserve">9.1987 z </w:t>
      </w:r>
      <w:proofErr w:type="spellStart"/>
      <w:r w:rsidRPr="00C4545D">
        <w:rPr>
          <w:rFonts w:ascii="Lato" w:hAnsi="Lato"/>
          <w:szCs w:val="22"/>
        </w:rPr>
        <w:t>późn</w:t>
      </w:r>
      <w:proofErr w:type="spellEnd"/>
      <w:r w:rsidRPr="00C4545D">
        <w:rPr>
          <w:rFonts w:ascii="Lato" w:hAnsi="Lato"/>
          <w:szCs w:val="22"/>
        </w:rPr>
        <w:t>. zm.),</w:t>
      </w:r>
    </w:p>
    <w:p w14:paraId="3884948E" w14:textId="77777777" w:rsidR="007177C6" w:rsidRPr="00C4545D" w:rsidRDefault="007177C6" w:rsidP="00C4545D">
      <w:pPr>
        <w:numPr>
          <w:ilvl w:val="0"/>
          <w:numId w:val="3"/>
        </w:numPr>
        <w:spacing w:before="120" w:after="120"/>
        <w:ind w:left="567" w:hanging="567"/>
        <w:rPr>
          <w:rFonts w:ascii="Lato" w:hAnsi="Lato"/>
          <w:szCs w:val="22"/>
        </w:rPr>
      </w:pPr>
      <w:r w:rsidRPr="00C4545D">
        <w:rPr>
          <w:rFonts w:ascii="Lato" w:hAnsi="Lato"/>
          <w:szCs w:val="22"/>
        </w:rPr>
        <w:t>inne regulacje wspólnotowe wprowadzające zawieszenie stawek celnych ze względu na końcowe przeznaczenie np. rozporządzenie Rady (WE) nr 150/2003 z dnia 21 stycznia 2003 r. zawieszające należności celne przywozowe na niektóre rodzaje broni i sprzętu wojskowego, (Dz. Urz. WE L 25 z 30.01.2003, str.1; Dz. Urz. UE Polskie wydanie specjalne, rozdział 2, t. 13, str.15),</w:t>
      </w:r>
    </w:p>
    <w:p w14:paraId="5143CF65" w14:textId="4A2E483D" w:rsidR="007177C6" w:rsidRPr="00C4545D" w:rsidRDefault="007177C6" w:rsidP="00C4545D">
      <w:pPr>
        <w:numPr>
          <w:ilvl w:val="0"/>
          <w:numId w:val="3"/>
        </w:numPr>
        <w:spacing w:before="120" w:after="120"/>
        <w:ind w:left="567" w:hanging="567"/>
        <w:rPr>
          <w:rFonts w:ascii="Lato" w:hAnsi="Lato"/>
        </w:rPr>
      </w:pPr>
      <w:r w:rsidRPr="00C4545D">
        <w:rPr>
          <w:rFonts w:ascii="Lato" w:hAnsi="Lato"/>
          <w:szCs w:val="22"/>
        </w:rPr>
        <w:t xml:space="preserve">ustawa z dnia 19 marca 2004 r. – Prawo celne (Dz.U. z </w:t>
      </w:r>
      <w:r w:rsidR="00CE75CA">
        <w:rPr>
          <w:rFonts w:ascii="Lato" w:hAnsi="Lato"/>
        </w:rPr>
        <w:t>2024</w:t>
      </w:r>
      <w:r w:rsidR="00702D4A" w:rsidRPr="00C4545D">
        <w:rPr>
          <w:rFonts w:ascii="Lato" w:hAnsi="Lato"/>
        </w:rPr>
        <w:t xml:space="preserve"> r., poz. </w:t>
      </w:r>
      <w:r w:rsidR="00CE75CA">
        <w:rPr>
          <w:rFonts w:ascii="Lato" w:hAnsi="Lato"/>
        </w:rPr>
        <w:t>1373</w:t>
      </w:r>
      <w:r w:rsidR="00920822">
        <w:rPr>
          <w:rFonts w:ascii="Lato" w:hAnsi="Lato"/>
        </w:rPr>
        <w:t xml:space="preserve"> </w:t>
      </w:r>
      <w:r w:rsidR="00920822" w:rsidRPr="00920822">
        <w:rPr>
          <w:rFonts w:ascii="Lato" w:hAnsi="Lato"/>
        </w:rPr>
        <w:t xml:space="preserve">z </w:t>
      </w:r>
      <w:proofErr w:type="spellStart"/>
      <w:r w:rsidR="00920822" w:rsidRPr="00920822">
        <w:rPr>
          <w:rFonts w:ascii="Lato" w:hAnsi="Lato"/>
        </w:rPr>
        <w:t>późn</w:t>
      </w:r>
      <w:proofErr w:type="spellEnd"/>
      <w:r w:rsidR="00920822" w:rsidRPr="00920822">
        <w:rPr>
          <w:rFonts w:ascii="Lato" w:hAnsi="Lato"/>
        </w:rPr>
        <w:t>. zm.</w:t>
      </w:r>
      <w:r w:rsidRPr="00C4545D">
        <w:rPr>
          <w:rFonts w:ascii="Lato" w:hAnsi="Lato"/>
          <w:szCs w:val="22"/>
        </w:rPr>
        <w:t>),</w:t>
      </w:r>
    </w:p>
    <w:p w14:paraId="31783E4B" w14:textId="564E0A68" w:rsidR="00A11829" w:rsidRPr="00C4545D" w:rsidRDefault="00A11829" w:rsidP="00C4545D">
      <w:pPr>
        <w:numPr>
          <w:ilvl w:val="0"/>
          <w:numId w:val="3"/>
        </w:numPr>
        <w:spacing w:before="120" w:after="120"/>
        <w:ind w:left="567" w:hanging="567"/>
        <w:rPr>
          <w:rFonts w:ascii="Lato" w:hAnsi="Lato"/>
        </w:rPr>
      </w:pPr>
      <w:r w:rsidRPr="00C4545D">
        <w:rPr>
          <w:rFonts w:ascii="Lato" w:hAnsi="Lato"/>
        </w:rPr>
        <w:t xml:space="preserve">ustawa z dnia 16 listopada 2016 r. o Krajowej Administracji Skarbowej (Dz. U. </w:t>
      </w:r>
      <w:r w:rsidRPr="00C4545D">
        <w:rPr>
          <w:rFonts w:ascii="Lato" w:eastAsia="Calibri" w:hAnsi="Lato"/>
        </w:rPr>
        <w:t xml:space="preserve">z </w:t>
      </w:r>
      <w:r w:rsidR="00CE75CA">
        <w:rPr>
          <w:rFonts w:ascii="Lato" w:eastAsia="Calibri" w:hAnsi="Lato"/>
        </w:rPr>
        <w:t>2025</w:t>
      </w:r>
      <w:r w:rsidRPr="00C4545D">
        <w:rPr>
          <w:rFonts w:ascii="Lato" w:eastAsia="Calibri" w:hAnsi="Lato"/>
        </w:rPr>
        <w:t xml:space="preserve"> r. poz. </w:t>
      </w:r>
      <w:r w:rsidR="00CE75CA">
        <w:rPr>
          <w:rFonts w:ascii="Lato" w:eastAsia="Calibri" w:hAnsi="Lato"/>
        </w:rPr>
        <w:t>1131</w:t>
      </w:r>
      <w:r w:rsidRPr="00C4545D">
        <w:rPr>
          <w:rFonts w:ascii="Lato" w:hAnsi="Lato"/>
        </w:rPr>
        <w:t xml:space="preserve">, z </w:t>
      </w:r>
      <w:proofErr w:type="spellStart"/>
      <w:r w:rsidRPr="00C4545D">
        <w:rPr>
          <w:rFonts w:ascii="Lato" w:hAnsi="Lato"/>
        </w:rPr>
        <w:t>późn</w:t>
      </w:r>
      <w:proofErr w:type="spellEnd"/>
      <w:r w:rsidRPr="00C4545D">
        <w:rPr>
          <w:rFonts w:ascii="Lato" w:hAnsi="Lato"/>
        </w:rPr>
        <w:t>. zm.),</w:t>
      </w:r>
    </w:p>
    <w:p w14:paraId="6CFA8C99" w14:textId="169AD75A" w:rsidR="00A11829" w:rsidRPr="00C4545D" w:rsidRDefault="00A11829" w:rsidP="00C4545D">
      <w:pPr>
        <w:numPr>
          <w:ilvl w:val="0"/>
          <w:numId w:val="3"/>
        </w:numPr>
        <w:spacing w:before="120" w:after="120"/>
        <w:ind w:left="567" w:hanging="567"/>
        <w:rPr>
          <w:rFonts w:ascii="Lato" w:hAnsi="Lato"/>
        </w:rPr>
      </w:pPr>
      <w:r w:rsidRPr="00C4545D">
        <w:rPr>
          <w:rFonts w:ascii="Lato" w:hAnsi="Lato"/>
        </w:rPr>
        <w:t xml:space="preserve">ustawa z dnia 16 listopada 2016 r. – Przepisy wprowadzające ustawę o Krajowej Administracji Skarbowej (Dz.U. </w:t>
      </w:r>
      <w:r w:rsidR="00920822">
        <w:rPr>
          <w:rFonts w:ascii="Lato" w:hAnsi="Lato"/>
        </w:rPr>
        <w:t xml:space="preserve">z 2016 r., </w:t>
      </w:r>
      <w:r w:rsidRPr="00C4545D">
        <w:rPr>
          <w:rFonts w:ascii="Lato" w:hAnsi="Lato"/>
        </w:rPr>
        <w:t xml:space="preserve">poz.1948 z </w:t>
      </w:r>
      <w:proofErr w:type="spellStart"/>
      <w:r w:rsidRPr="00C4545D">
        <w:rPr>
          <w:rFonts w:ascii="Lato" w:hAnsi="Lato"/>
        </w:rPr>
        <w:t>późn</w:t>
      </w:r>
      <w:proofErr w:type="spellEnd"/>
      <w:r w:rsidRPr="00C4545D">
        <w:rPr>
          <w:rFonts w:ascii="Lato" w:hAnsi="Lato"/>
        </w:rPr>
        <w:t>. zm.),</w:t>
      </w:r>
    </w:p>
    <w:p w14:paraId="62F0C31D" w14:textId="1F0B7BD8" w:rsidR="007177C6" w:rsidRPr="00C4545D" w:rsidRDefault="006E0E1E" w:rsidP="00C4545D">
      <w:pPr>
        <w:numPr>
          <w:ilvl w:val="0"/>
          <w:numId w:val="3"/>
        </w:numPr>
        <w:spacing w:before="120" w:after="120"/>
        <w:ind w:left="567" w:hanging="567"/>
        <w:rPr>
          <w:rFonts w:ascii="Lato" w:hAnsi="Lato"/>
        </w:rPr>
      </w:pPr>
      <w:r w:rsidRPr="00C4545D">
        <w:rPr>
          <w:rFonts w:ascii="Lato" w:hAnsi="Lato"/>
        </w:rPr>
        <w:t>rozporządzenie Ministra Rozwoju i Finansów z dnia 29 października 2017 r. sprawie danych zamieszczanych we wnioskach, deklaracjach i powiadomieniach oraz załączanych dokumentów (</w:t>
      </w:r>
      <w:r w:rsidR="00920822">
        <w:rPr>
          <w:rFonts w:ascii="Lato" w:hAnsi="Lato"/>
        </w:rPr>
        <w:t xml:space="preserve">Dz. U. z 2017 r., </w:t>
      </w:r>
      <w:r w:rsidRPr="00C4545D">
        <w:rPr>
          <w:rFonts w:ascii="Lato" w:hAnsi="Lato"/>
        </w:rPr>
        <w:t>poz. 1815)</w:t>
      </w:r>
      <w:r w:rsidR="007177C6" w:rsidRPr="00C4545D">
        <w:rPr>
          <w:rFonts w:ascii="Lato" w:hAnsi="Lato"/>
        </w:rPr>
        <w:t>,</w:t>
      </w:r>
    </w:p>
    <w:p w14:paraId="497A215A" w14:textId="0AF20E07" w:rsidR="00B27B2C" w:rsidRPr="00C4545D" w:rsidRDefault="007177C6" w:rsidP="00C4545D">
      <w:pPr>
        <w:numPr>
          <w:ilvl w:val="0"/>
          <w:numId w:val="3"/>
        </w:numPr>
        <w:spacing w:before="120" w:after="120"/>
        <w:ind w:left="567" w:hanging="567"/>
        <w:rPr>
          <w:rFonts w:ascii="Lato" w:hAnsi="Lato"/>
          <w:szCs w:val="22"/>
        </w:rPr>
      </w:pPr>
      <w:r w:rsidRPr="00C4545D">
        <w:rPr>
          <w:rFonts w:ascii="Lato" w:hAnsi="Lato"/>
          <w:szCs w:val="22"/>
        </w:rPr>
        <w:t xml:space="preserve">rozporządzenie Ministra Finansów z dnia 31 maja 2016 r. w sprawie właściwości miejscowej organów celnych (Dz. U. </w:t>
      </w:r>
      <w:r w:rsidR="00702D4A" w:rsidRPr="00C4545D">
        <w:rPr>
          <w:rFonts w:ascii="Lato" w:hAnsi="Lato"/>
          <w:szCs w:val="22"/>
        </w:rPr>
        <w:t xml:space="preserve">z 2018 r., </w:t>
      </w:r>
      <w:r w:rsidRPr="00C4545D">
        <w:rPr>
          <w:rFonts w:ascii="Lato" w:hAnsi="Lato"/>
          <w:szCs w:val="22"/>
        </w:rPr>
        <w:t xml:space="preserve">poz. </w:t>
      </w:r>
      <w:r w:rsidR="00702D4A" w:rsidRPr="00C4545D">
        <w:rPr>
          <w:rFonts w:ascii="Lato" w:hAnsi="Lato"/>
          <w:szCs w:val="22"/>
        </w:rPr>
        <w:t>170</w:t>
      </w:r>
      <w:r w:rsidRPr="00C4545D">
        <w:rPr>
          <w:rFonts w:ascii="Lato" w:hAnsi="Lato"/>
          <w:szCs w:val="22"/>
        </w:rPr>
        <w:t>),</w:t>
      </w:r>
    </w:p>
    <w:p w14:paraId="6D5E5029" w14:textId="3853EAF6" w:rsidR="007177C6" w:rsidRPr="00C4545D" w:rsidRDefault="00EE5A76" w:rsidP="00C4545D">
      <w:pPr>
        <w:numPr>
          <w:ilvl w:val="0"/>
          <w:numId w:val="3"/>
        </w:numPr>
        <w:spacing w:before="120" w:after="120"/>
        <w:ind w:left="567" w:hanging="567"/>
        <w:rPr>
          <w:rFonts w:ascii="Lato" w:hAnsi="Lato"/>
          <w:sz w:val="32"/>
          <w:szCs w:val="32"/>
        </w:rPr>
      </w:pPr>
      <w:r w:rsidRPr="00C4545D">
        <w:rPr>
          <w:rFonts w:ascii="Lato" w:hAnsi="Lato"/>
          <w:szCs w:val="22"/>
        </w:rPr>
        <w:t>r</w:t>
      </w:r>
      <w:r w:rsidR="00B27B2C" w:rsidRPr="00C4545D">
        <w:rPr>
          <w:rFonts w:ascii="Lato" w:hAnsi="Lato"/>
          <w:szCs w:val="22"/>
        </w:rPr>
        <w:t>ozporządzenie Ministra Rozwoju i Fin</w:t>
      </w:r>
      <w:r w:rsidR="00A05614" w:rsidRPr="00C4545D">
        <w:rPr>
          <w:rFonts w:ascii="Lato" w:hAnsi="Lato"/>
          <w:szCs w:val="22"/>
        </w:rPr>
        <w:t>an</w:t>
      </w:r>
      <w:r w:rsidR="00B27B2C" w:rsidRPr="00C4545D">
        <w:rPr>
          <w:rFonts w:ascii="Lato" w:hAnsi="Lato"/>
          <w:szCs w:val="22"/>
        </w:rPr>
        <w:t xml:space="preserve">sów z dnia 21 lutego 2017 r. w sprawie urzędów celno-skarbowych oraz podległych im oddziałów celnych, w których są dokonywane czynności przewidziane przepisami prawa celnego w zależności od rodzaju towarów lub procedur celnych, którymi mogą być obejmowane towary (Dz. U. </w:t>
      </w:r>
      <w:r w:rsidR="006007C0" w:rsidRPr="00C4545D">
        <w:rPr>
          <w:rFonts w:ascii="Lato" w:hAnsi="Lato"/>
          <w:szCs w:val="22"/>
        </w:rPr>
        <w:t>z 20</w:t>
      </w:r>
      <w:r w:rsidR="00920822">
        <w:rPr>
          <w:rFonts w:ascii="Lato" w:hAnsi="Lato"/>
          <w:szCs w:val="22"/>
        </w:rPr>
        <w:t>24</w:t>
      </w:r>
      <w:r w:rsidR="006007C0" w:rsidRPr="00C4545D">
        <w:rPr>
          <w:rFonts w:ascii="Lato" w:hAnsi="Lato"/>
          <w:szCs w:val="22"/>
        </w:rPr>
        <w:t xml:space="preserve"> r., </w:t>
      </w:r>
      <w:r w:rsidR="00B27B2C" w:rsidRPr="00C4545D">
        <w:rPr>
          <w:rFonts w:ascii="Lato" w:hAnsi="Lato"/>
          <w:szCs w:val="22"/>
        </w:rPr>
        <w:t xml:space="preserve">poz. </w:t>
      </w:r>
      <w:r w:rsidR="00920822">
        <w:rPr>
          <w:rFonts w:ascii="Lato" w:hAnsi="Lato"/>
          <w:szCs w:val="22"/>
        </w:rPr>
        <w:t>898</w:t>
      </w:r>
      <w:r w:rsidR="00B27B2C" w:rsidRPr="00C4545D">
        <w:rPr>
          <w:rFonts w:ascii="Lato" w:hAnsi="Lato"/>
          <w:szCs w:val="22"/>
        </w:rPr>
        <w:t>),</w:t>
      </w:r>
    </w:p>
    <w:p w14:paraId="7666AB6F" w14:textId="6E969B10" w:rsidR="00A11829" w:rsidRPr="00C4545D" w:rsidRDefault="00F37A28" w:rsidP="00C4545D">
      <w:pPr>
        <w:numPr>
          <w:ilvl w:val="0"/>
          <w:numId w:val="3"/>
        </w:numPr>
        <w:spacing w:before="120" w:after="120"/>
        <w:ind w:left="567" w:hanging="567"/>
        <w:rPr>
          <w:rFonts w:ascii="Lato" w:hAnsi="Lato"/>
          <w:sz w:val="32"/>
          <w:szCs w:val="32"/>
        </w:rPr>
      </w:pPr>
      <w:hyperlink r:id="rId8" w:anchor="special_procedures" w:history="1">
        <w:r w:rsidR="00A11829" w:rsidRPr="00C4545D">
          <w:rPr>
            <w:rStyle w:val="Hipercze"/>
            <w:rFonts w:ascii="Lato" w:hAnsi="Lato"/>
            <w:color w:val="auto"/>
            <w:u w:val="none"/>
          </w:rPr>
          <w:t>wytyczne</w:t>
        </w:r>
        <w:r w:rsidR="00117FCE">
          <w:rPr>
            <w:rStyle w:val="Hipercze"/>
            <w:rFonts w:ascii="Lato" w:hAnsi="Lato"/>
            <w:color w:val="auto"/>
            <w:u w:val="none"/>
          </w:rPr>
          <w:t>, instrukcje, wyjaśnienia</w:t>
        </w:r>
      </w:hyperlink>
      <w:r w:rsidR="00A11829" w:rsidRPr="00C4545D">
        <w:rPr>
          <w:rFonts w:ascii="Lato" w:hAnsi="Lato"/>
        </w:rPr>
        <w:t>,</w:t>
      </w:r>
    </w:p>
    <w:p w14:paraId="5BCBAC05" w14:textId="77777777" w:rsidR="006007C0" w:rsidRPr="00C4545D" w:rsidRDefault="006007C0" w:rsidP="00C4545D">
      <w:pPr>
        <w:numPr>
          <w:ilvl w:val="0"/>
          <w:numId w:val="3"/>
        </w:numPr>
        <w:spacing w:before="120" w:after="120"/>
        <w:ind w:left="567" w:hanging="567"/>
        <w:rPr>
          <w:rFonts w:ascii="Lato" w:hAnsi="Lato"/>
          <w:sz w:val="32"/>
          <w:szCs w:val="32"/>
        </w:rPr>
      </w:pPr>
      <w:r w:rsidRPr="00C4545D">
        <w:rPr>
          <w:rFonts w:ascii="Lato" w:hAnsi="Lato"/>
        </w:rPr>
        <w:t>opracowany przez KE dokument TAXUD(a2)LG/</w:t>
      </w:r>
      <w:proofErr w:type="spellStart"/>
      <w:r w:rsidRPr="00C4545D">
        <w:rPr>
          <w:rFonts w:ascii="Lato" w:hAnsi="Lato"/>
        </w:rPr>
        <w:t>dt</w:t>
      </w:r>
      <w:proofErr w:type="spellEnd"/>
      <w:r w:rsidRPr="00C4545D">
        <w:rPr>
          <w:rFonts w:ascii="Lato" w:hAnsi="Lato"/>
        </w:rPr>
        <w:t xml:space="preserve"> z dnia 19 czerwca 2017r. na temat przedstawicielstwa „Przedstawicielstwo celne w kontekście uproszczeń i niektórych procedur specjalnych”.</w:t>
      </w:r>
    </w:p>
    <w:p w14:paraId="2F932ED5" w14:textId="77777777" w:rsidR="007177C6" w:rsidRPr="00C4545D" w:rsidRDefault="007177C6" w:rsidP="00C4545D">
      <w:pPr>
        <w:pStyle w:val="Nagwek1"/>
        <w:jc w:val="left"/>
        <w:rPr>
          <w:rFonts w:ascii="Lato" w:hAnsi="Lato"/>
        </w:rPr>
      </w:pPr>
      <w:bookmarkStart w:id="2" w:name="_Toc461616101"/>
      <w:r w:rsidRPr="00C4545D">
        <w:rPr>
          <w:rFonts w:ascii="Lato" w:hAnsi="Lato"/>
        </w:rPr>
        <w:t>Podstawowe zasady stosowania procedury</w:t>
      </w:r>
      <w:bookmarkEnd w:id="2"/>
    </w:p>
    <w:p w14:paraId="3C787440" w14:textId="77777777" w:rsidR="004178B5" w:rsidRPr="00C4545D" w:rsidRDefault="00C043B6" w:rsidP="00C4545D">
      <w:pPr>
        <w:pStyle w:val="Nagwek"/>
        <w:tabs>
          <w:tab w:val="left" w:pos="567"/>
        </w:tabs>
        <w:spacing w:before="120" w:after="120"/>
        <w:ind w:left="567" w:hanging="567"/>
        <w:rPr>
          <w:rFonts w:ascii="Lato" w:hAnsi="Lato"/>
          <w:szCs w:val="22"/>
        </w:rPr>
      </w:pPr>
      <w:r w:rsidRPr="00C4545D">
        <w:rPr>
          <w:rFonts w:ascii="Lato" w:hAnsi="Lato"/>
          <w:b/>
          <w:color w:val="000000"/>
          <w:szCs w:val="22"/>
        </w:rPr>
        <w:t>1.</w:t>
      </w:r>
      <w:r w:rsidRPr="00C4545D">
        <w:rPr>
          <w:rFonts w:ascii="Lato" w:hAnsi="Lato"/>
          <w:color w:val="000000"/>
          <w:szCs w:val="22"/>
        </w:rPr>
        <w:tab/>
      </w:r>
      <w:r w:rsidR="007177C6" w:rsidRPr="00C4545D">
        <w:rPr>
          <w:rFonts w:ascii="Lato" w:hAnsi="Lato"/>
          <w:color w:val="000000"/>
          <w:szCs w:val="22"/>
        </w:rPr>
        <w:t xml:space="preserve">Procedura końcowego przeznaczenia wraz z procedurą odprawy czasowej należy do jednej z kategorii procedur specjalnych, zwanej „szczególnym przeznaczeniem”. </w:t>
      </w:r>
      <w:r w:rsidR="007177C6" w:rsidRPr="00C4545D">
        <w:rPr>
          <w:rFonts w:ascii="Lato" w:hAnsi="Lato"/>
          <w:szCs w:val="22"/>
        </w:rPr>
        <w:t xml:space="preserve">W ramach </w:t>
      </w:r>
      <w:r w:rsidRPr="00C4545D">
        <w:rPr>
          <w:rFonts w:ascii="Lato" w:hAnsi="Lato"/>
          <w:szCs w:val="22"/>
        </w:rPr>
        <w:t>tej procedury</w:t>
      </w:r>
      <w:r w:rsidR="007177C6" w:rsidRPr="00C4545D">
        <w:rPr>
          <w:rFonts w:ascii="Lato" w:hAnsi="Lato"/>
          <w:szCs w:val="22"/>
        </w:rPr>
        <w:t xml:space="preserve"> towary mogą zostać dopuszczone do obrotu bez cła lub z zastosowaniem obniżonej stawki celnej ze względu na ich szczególne przeznaczenie.</w:t>
      </w:r>
      <w:r w:rsidRPr="00C4545D">
        <w:rPr>
          <w:rFonts w:ascii="Lato" w:hAnsi="Lato"/>
          <w:szCs w:val="22"/>
        </w:rPr>
        <w:t xml:space="preserve"> </w:t>
      </w:r>
      <w:r w:rsidR="00B27B2C" w:rsidRPr="00C4545D">
        <w:rPr>
          <w:rFonts w:ascii="Lato" w:hAnsi="Lato"/>
          <w:szCs w:val="22"/>
        </w:rPr>
        <w:t>Towary pozostają pod dozorem celnym p</w:t>
      </w:r>
      <w:r w:rsidR="007177C6" w:rsidRPr="00C4545D">
        <w:rPr>
          <w:rFonts w:ascii="Lato" w:hAnsi="Lato"/>
          <w:szCs w:val="22"/>
        </w:rPr>
        <w:t>rzez czas konieczny, aby organ celny upewnił się, że towary otrzymały</w:t>
      </w:r>
      <w:r w:rsidRPr="00C4545D">
        <w:rPr>
          <w:rFonts w:ascii="Lato" w:hAnsi="Lato"/>
          <w:szCs w:val="22"/>
        </w:rPr>
        <w:t xml:space="preserve"> końcowe przeznaczenie</w:t>
      </w:r>
      <w:r w:rsidR="007177C6" w:rsidRPr="00C4545D">
        <w:rPr>
          <w:rFonts w:ascii="Lato" w:hAnsi="Lato"/>
          <w:szCs w:val="22"/>
        </w:rPr>
        <w:t xml:space="preserve">. </w:t>
      </w:r>
    </w:p>
    <w:p w14:paraId="7410910A" w14:textId="77777777" w:rsidR="00E944B7" w:rsidRPr="00C4545D" w:rsidRDefault="004178B5" w:rsidP="00C4545D">
      <w:pPr>
        <w:pStyle w:val="Nagwek"/>
        <w:tabs>
          <w:tab w:val="left" w:pos="567"/>
        </w:tabs>
        <w:spacing w:before="120" w:after="120"/>
        <w:ind w:left="567" w:hanging="567"/>
        <w:rPr>
          <w:rFonts w:ascii="Lato" w:hAnsi="Lato"/>
          <w:szCs w:val="22"/>
        </w:rPr>
      </w:pPr>
      <w:r w:rsidRPr="00C4545D">
        <w:rPr>
          <w:rFonts w:ascii="Lato" w:hAnsi="Lato"/>
          <w:b/>
          <w:szCs w:val="22"/>
        </w:rPr>
        <w:t>2.</w:t>
      </w:r>
      <w:r w:rsidRPr="00C4545D">
        <w:rPr>
          <w:rFonts w:ascii="Lato" w:hAnsi="Lato"/>
          <w:szCs w:val="22"/>
        </w:rPr>
        <w:tab/>
        <w:t>Objęcie towarów procedurą dopuszczenia do obrotu z końcowym przeznaczeniem wymaga uzyskania pozwolenia.</w:t>
      </w:r>
      <w:r w:rsidR="00E944B7" w:rsidRPr="00C4545D">
        <w:rPr>
          <w:rFonts w:ascii="Lato" w:hAnsi="Lato"/>
          <w:szCs w:val="22"/>
        </w:rPr>
        <w:t xml:space="preserve"> </w:t>
      </w:r>
    </w:p>
    <w:p w14:paraId="3A992C03" w14:textId="77777777" w:rsidR="004178B5" w:rsidRPr="00C4545D" w:rsidRDefault="00E944B7" w:rsidP="00C4545D">
      <w:pPr>
        <w:pStyle w:val="Nagwek"/>
        <w:tabs>
          <w:tab w:val="left" w:pos="567"/>
        </w:tabs>
        <w:spacing w:before="120" w:after="120"/>
        <w:ind w:left="564" w:hanging="564"/>
        <w:rPr>
          <w:rFonts w:ascii="Lato" w:hAnsi="Lato"/>
          <w:szCs w:val="22"/>
        </w:rPr>
      </w:pPr>
      <w:r w:rsidRPr="00C4545D">
        <w:rPr>
          <w:rFonts w:ascii="Lato" w:hAnsi="Lato"/>
          <w:b/>
          <w:szCs w:val="22"/>
        </w:rPr>
        <w:t>3.</w:t>
      </w:r>
      <w:r w:rsidRPr="00C4545D">
        <w:rPr>
          <w:rFonts w:ascii="Lato" w:hAnsi="Lato"/>
          <w:szCs w:val="22"/>
        </w:rPr>
        <w:tab/>
      </w:r>
      <w:r w:rsidR="007177C6" w:rsidRPr="00C4545D">
        <w:rPr>
          <w:rFonts w:ascii="Lato" w:hAnsi="Lato"/>
          <w:szCs w:val="22"/>
        </w:rPr>
        <w:t xml:space="preserve">Jeśli towary nie zostaną wykorzystane w czasie i w sposób określony w pozwoleniu należy uiścić należności celne. </w:t>
      </w:r>
    </w:p>
    <w:p w14:paraId="213A40D7" w14:textId="77777777" w:rsidR="00E944B7" w:rsidRPr="00C4545D" w:rsidRDefault="007177C6" w:rsidP="00C4545D">
      <w:pPr>
        <w:pStyle w:val="Nagwek"/>
        <w:numPr>
          <w:ilvl w:val="0"/>
          <w:numId w:val="12"/>
        </w:numPr>
        <w:tabs>
          <w:tab w:val="left" w:pos="567"/>
        </w:tabs>
        <w:spacing w:before="120" w:after="120"/>
        <w:ind w:left="567" w:hanging="567"/>
        <w:rPr>
          <w:rFonts w:ascii="Lato" w:hAnsi="Lato"/>
          <w:szCs w:val="22"/>
        </w:rPr>
      </w:pPr>
      <w:r w:rsidRPr="00C4545D">
        <w:rPr>
          <w:rFonts w:ascii="Lato" w:hAnsi="Lato"/>
          <w:szCs w:val="22"/>
        </w:rPr>
        <w:t xml:space="preserve">Końcowe przeznaczenie jest stosowane w zakresie uprzywilejowanego traktowania taryfowego oraz środków pozataryfowych mających wpływ na przywozowe stawki celne. Nie stosuje się go automatycznie, ale tylko wtedy, gdy zostało to przewidziane w przepisach unijnych lub krajowych, np. w przepisach dotyczących produktów rolnych, rybołówstwa lub antydumpingu. </w:t>
      </w:r>
    </w:p>
    <w:p w14:paraId="52D63219" w14:textId="77777777" w:rsidR="004178B5" w:rsidRPr="00C4545D" w:rsidRDefault="007177C6" w:rsidP="00C4545D">
      <w:pPr>
        <w:pStyle w:val="Nagwek"/>
        <w:numPr>
          <w:ilvl w:val="0"/>
          <w:numId w:val="12"/>
        </w:numPr>
        <w:tabs>
          <w:tab w:val="left" w:pos="567"/>
        </w:tabs>
        <w:spacing w:before="120" w:after="120"/>
        <w:ind w:left="567" w:hanging="567"/>
        <w:rPr>
          <w:rFonts w:ascii="Lato" w:hAnsi="Lato"/>
          <w:szCs w:val="22"/>
        </w:rPr>
      </w:pPr>
      <w:r w:rsidRPr="00C4545D">
        <w:rPr>
          <w:rFonts w:ascii="Lato" w:hAnsi="Lato"/>
          <w:szCs w:val="22"/>
        </w:rPr>
        <w:t>W ramach procedury końcowego przeznaczenia możliwe są m.in.:</w:t>
      </w:r>
    </w:p>
    <w:p w14:paraId="7E4CD98C" w14:textId="77777777" w:rsidR="004178B5" w:rsidRPr="00C4545D" w:rsidRDefault="007177C6" w:rsidP="00C4545D">
      <w:pPr>
        <w:pStyle w:val="Nagwek"/>
        <w:numPr>
          <w:ilvl w:val="0"/>
          <w:numId w:val="6"/>
        </w:numPr>
        <w:tabs>
          <w:tab w:val="clear" w:pos="4320"/>
          <w:tab w:val="left" w:pos="426"/>
          <w:tab w:val="center" w:pos="993"/>
        </w:tabs>
        <w:spacing w:before="120" w:after="120"/>
        <w:ind w:left="993" w:hanging="426"/>
        <w:rPr>
          <w:rFonts w:ascii="Lato" w:hAnsi="Lato"/>
          <w:szCs w:val="22"/>
        </w:rPr>
      </w:pPr>
      <w:r w:rsidRPr="00C4545D">
        <w:rPr>
          <w:rFonts w:ascii="Lato" w:hAnsi="Lato"/>
          <w:szCs w:val="22"/>
        </w:rPr>
        <w:t xml:space="preserve">autonomiczne zawieszenie taryfowe </w:t>
      </w:r>
      <w:r w:rsidRPr="00C4545D">
        <w:rPr>
          <w:rFonts w:ascii="Lato" w:hAnsi="Lato"/>
          <w:i/>
          <w:szCs w:val="22"/>
        </w:rPr>
        <w:t xml:space="preserve">Erga </w:t>
      </w:r>
      <w:proofErr w:type="spellStart"/>
      <w:r w:rsidRPr="00C4545D">
        <w:rPr>
          <w:rFonts w:ascii="Lato" w:hAnsi="Lato"/>
          <w:i/>
          <w:szCs w:val="22"/>
        </w:rPr>
        <w:t>omnes</w:t>
      </w:r>
      <w:proofErr w:type="spellEnd"/>
      <w:r w:rsidRPr="00C4545D">
        <w:rPr>
          <w:rFonts w:ascii="Lato" w:hAnsi="Lato"/>
          <w:szCs w:val="22"/>
        </w:rPr>
        <w:t>, uzależnione od zastosowania procedury końcowego przeznaczenia i uzyskania pozwolenia,</w:t>
      </w:r>
    </w:p>
    <w:p w14:paraId="6542C259" w14:textId="77777777" w:rsidR="004178B5" w:rsidRPr="00C4545D" w:rsidRDefault="007177C6" w:rsidP="00C4545D">
      <w:pPr>
        <w:pStyle w:val="Nagwek"/>
        <w:numPr>
          <w:ilvl w:val="0"/>
          <w:numId w:val="6"/>
        </w:numPr>
        <w:tabs>
          <w:tab w:val="clear" w:pos="4320"/>
          <w:tab w:val="left" w:pos="426"/>
          <w:tab w:val="center" w:pos="993"/>
        </w:tabs>
        <w:spacing w:before="120" w:after="120"/>
        <w:ind w:left="993" w:hanging="426"/>
        <w:rPr>
          <w:rFonts w:ascii="Lato" w:hAnsi="Lato"/>
          <w:szCs w:val="22"/>
        </w:rPr>
      </w:pPr>
      <w:r w:rsidRPr="00C4545D">
        <w:rPr>
          <w:rFonts w:ascii="Lato" w:hAnsi="Lato"/>
          <w:szCs w:val="22"/>
        </w:rPr>
        <w:t>niepreferencyjne kontyngenty taryfowe, uzależnione od uzyskania pozwolenia na omawianą procedurę,</w:t>
      </w:r>
    </w:p>
    <w:p w14:paraId="4D26BF27" w14:textId="77777777" w:rsidR="004178B5" w:rsidRPr="00C4545D" w:rsidRDefault="007177C6" w:rsidP="00C4545D">
      <w:pPr>
        <w:pStyle w:val="Nagwek"/>
        <w:numPr>
          <w:ilvl w:val="0"/>
          <w:numId w:val="6"/>
        </w:numPr>
        <w:tabs>
          <w:tab w:val="clear" w:pos="4320"/>
          <w:tab w:val="left" w:pos="426"/>
          <w:tab w:val="center" w:pos="993"/>
        </w:tabs>
        <w:spacing w:before="120" w:after="120"/>
        <w:ind w:left="993" w:hanging="426"/>
        <w:rPr>
          <w:rFonts w:ascii="Lato" w:hAnsi="Lato"/>
          <w:szCs w:val="22"/>
        </w:rPr>
      </w:pPr>
      <w:r w:rsidRPr="00C4545D">
        <w:rPr>
          <w:rFonts w:ascii="Lato" w:hAnsi="Lato"/>
          <w:szCs w:val="22"/>
        </w:rPr>
        <w:t>specjalne końcowe przeznaczenie /end –</w:t>
      </w:r>
      <w:proofErr w:type="spellStart"/>
      <w:r w:rsidRPr="00C4545D">
        <w:rPr>
          <w:rFonts w:ascii="Lato" w:hAnsi="Lato"/>
          <w:szCs w:val="22"/>
        </w:rPr>
        <w:t>use</w:t>
      </w:r>
      <w:proofErr w:type="spellEnd"/>
      <w:r w:rsidRPr="00C4545D">
        <w:rPr>
          <w:rFonts w:ascii="Lato" w:hAnsi="Lato"/>
          <w:szCs w:val="22"/>
        </w:rPr>
        <w:t>/ wynikające ze Wspólnej Taryfy Celnej,</w:t>
      </w:r>
    </w:p>
    <w:p w14:paraId="62800771" w14:textId="77777777" w:rsidR="004178B5" w:rsidRPr="00C4545D" w:rsidRDefault="007177C6" w:rsidP="00C4545D">
      <w:pPr>
        <w:pStyle w:val="Nagwek"/>
        <w:numPr>
          <w:ilvl w:val="0"/>
          <w:numId w:val="6"/>
        </w:numPr>
        <w:tabs>
          <w:tab w:val="clear" w:pos="4320"/>
          <w:tab w:val="left" w:pos="426"/>
          <w:tab w:val="center" w:pos="993"/>
        </w:tabs>
        <w:spacing w:before="120" w:after="120"/>
        <w:ind w:left="993" w:hanging="426"/>
        <w:rPr>
          <w:rFonts w:ascii="Lato" w:hAnsi="Lato"/>
          <w:szCs w:val="22"/>
        </w:rPr>
      </w:pPr>
      <w:r w:rsidRPr="00C4545D">
        <w:rPr>
          <w:rFonts w:ascii="Lato" w:hAnsi="Lato"/>
          <w:szCs w:val="22"/>
        </w:rPr>
        <w:t>kontyngenty taryfowe GSP połączone z końcowym przeznaczeniem,</w:t>
      </w:r>
    </w:p>
    <w:p w14:paraId="64AA76CE" w14:textId="77777777" w:rsidR="004178B5" w:rsidRPr="00C4545D" w:rsidRDefault="007177C6" w:rsidP="00C4545D">
      <w:pPr>
        <w:pStyle w:val="Nagwek"/>
        <w:numPr>
          <w:ilvl w:val="0"/>
          <w:numId w:val="6"/>
        </w:numPr>
        <w:tabs>
          <w:tab w:val="clear" w:pos="4320"/>
          <w:tab w:val="left" w:pos="426"/>
          <w:tab w:val="center" w:pos="993"/>
        </w:tabs>
        <w:spacing w:before="120" w:after="120"/>
        <w:ind w:left="993" w:hanging="426"/>
        <w:rPr>
          <w:rFonts w:ascii="Lato" w:hAnsi="Lato"/>
          <w:szCs w:val="22"/>
        </w:rPr>
      </w:pPr>
      <w:r w:rsidRPr="00C4545D">
        <w:rPr>
          <w:rFonts w:ascii="Lato" w:hAnsi="Lato"/>
          <w:szCs w:val="22"/>
        </w:rPr>
        <w:t>preferencyjne stawki celne GSP połączone z końcowym przeznaczeniem,</w:t>
      </w:r>
    </w:p>
    <w:p w14:paraId="7A9CA73B" w14:textId="77777777" w:rsidR="004178B5" w:rsidRPr="00C4545D" w:rsidRDefault="007177C6" w:rsidP="00C4545D">
      <w:pPr>
        <w:pStyle w:val="Nagwek"/>
        <w:numPr>
          <w:ilvl w:val="0"/>
          <w:numId w:val="6"/>
        </w:numPr>
        <w:tabs>
          <w:tab w:val="clear" w:pos="4320"/>
          <w:tab w:val="left" w:pos="426"/>
          <w:tab w:val="center" w:pos="993"/>
        </w:tabs>
        <w:spacing w:before="120" w:after="120"/>
        <w:ind w:left="993" w:hanging="426"/>
        <w:rPr>
          <w:rFonts w:ascii="Lato" w:hAnsi="Lato"/>
          <w:szCs w:val="22"/>
        </w:rPr>
      </w:pPr>
      <w:r w:rsidRPr="00C4545D">
        <w:rPr>
          <w:rFonts w:ascii="Lato" w:hAnsi="Lato"/>
          <w:szCs w:val="22"/>
        </w:rPr>
        <w:t>zawieszenia preferencyjne połączone z końcowym przeznaczeniem,</w:t>
      </w:r>
    </w:p>
    <w:p w14:paraId="66C87FF0" w14:textId="77777777" w:rsidR="004178B5" w:rsidRPr="00C4545D" w:rsidRDefault="007177C6" w:rsidP="00C4545D">
      <w:pPr>
        <w:pStyle w:val="Nagwek"/>
        <w:numPr>
          <w:ilvl w:val="0"/>
          <w:numId w:val="6"/>
        </w:numPr>
        <w:tabs>
          <w:tab w:val="clear" w:pos="4320"/>
          <w:tab w:val="left" w:pos="426"/>
          <w:tab w:val="center" w:pos="993"/>
        </w:tabs>
        <w:spacing w:before="120" w:after="120"/>
        <w:ind w:left="993" w:hanging="426"/>
        <w:rPr>
          <w:rFonts w:ascii="Lato" w:hAnsi="Lato"/>
          <w:szCs w:val="22"/>
        </w:rPr>
      </w:pPr>
      <w:r w:rsidRPr="00C4545D">
        <w:rPr>
          <w:rFonts w:ascii="Lato" w:hAnsi="Lato"/>
          <w:szCs w:val="22"/>
        </w:rPr>
        <w:t>preferencyjne kontyngenty taryfowe połączone z końcowym przeznaczeniem,</w:t>
      </w:r>
    </w:p>
    <w:p w14:paraId="34E0FD9E" w14:textId="77777777" w:rsidR="007177C6" w:rsidRPr="00C4545D" w:rsidRDefault="007177C6" w:rsidP="00C4545D">
      <w:pPr>
        <w:pStyle w:val="Nagwek"/>
        <w:numPr>
          <w:ilvl w:val="0"/>
          <w:numId w:val="6"/>
        </w:numPr>
        <w:tabs>
          <w:tab w:val="clear" w:pos="4320"/>
          <w:tab w:val="left" w:pos="426"/>
          <w:tab w:val="center" w:pos="993"/>
        </w:tabs>
        <w:spacing w:before="120" w:after="120"/>
        <w:ind w:left="993" w:hanging="426"/>
        <w:rPr>
          <w:rFonts w:ascii="Lato" w:hAnsi="Lato"/>
          <w:szCs w:val="22"/>
        </w:rPr>
      </w:pPr>
      <w:r w:rsidRPr="00C4545D">
        <w:rPr>
          <w:rFonts w:ascii="Lato" w:hAnsi="Lato"/>
          <w:szCs w:val="22"/>
        </w:rPr>
        <w:t>preferencyjne stawki celne połączone z końcowym przeznaczeniem.</w:t>
      </w:r>
    </w:p>
    <w:p w14:paraId="366E71A9" w14:textId="77777777" w:rsidR="004178B5" w:rsidRPr="00C4545D" w:rsidRDefault="007177C6" w:rsidP="00C4545D">
      <w:pPr>
        <w:spacing w:before="120" w:after="120"/>
        <w:ind w:left="567"/>
        <w:rPr>
          <w:rFonts w:ascii="Lato" w:hAnsi="Lato"/>
          <w:szCs w:val="22"/>
        </w:rPr>
      </w:pPr>
      <w:r w:rsidRPr="00C4545D">
        <w:rPr>
          <w:rFonts w:ascii="Lato" w:hAnsi="Lato"/>
          <w:szCs w:val="22"/>
        </w:rPr>
        <w:t>W systemie ISZTAR do kodu CN towaru, który może być objęty końcowym przeznaczeniem dowiązany jest odpowiedni przypis.</w:t>
      </w:r>
      <w:bookmarkStart w:id="3" w:name="_Toc299462834"/>
      <w:bookmarkStart w:id="4" w:name="_Toc302717046"/>
    </w:p>
    <w:p w14:paraId="460B4360" w14:textId="77777777" w:rsidR="007177C6" w:rsidRPr="00C4545D" w:rsidRDefault="007177C6" w:rsidP="00C4545D">
      <w:pPr>
        <w:numPr>
          <w:ilvl w:val="0"/>
          <w:numId w:val="8"/>
        </w:numPr>
        <w:spacing w:before="120" w:after="120"/>
        <w:ind w:left="567" w:hanging="567"/>
        <w:rPr>
          <w:rFonts w:ascii="Lato" w:hAnsi="Lato"/>
          <w:szCs w:val="22"/>
        </w:rPr>
      </w:pPr>
      <w:r w:rsidRPr="00C4545D">
        <w:rPr>
          <w:rFonts w:ascii="Lato" w:hAnsi="Lato"/>
          <w:szCs w:val="22"/>
        </w:rPr>
        <w:t>Przykłady towarów, które mogą być uważane za przeznaczone dla określonego przeznaczenia końcowego:</w:t>
      </w:r>
      <w:bookmarkEnd w:id="3"/>
      <w:bookmarkEnd w:id="4"/>
    </w:p>
    <w:p w14:paraId="392491B1" w14:textId="77777777" w:rsidR="007177C6" w:rsidRPr="00C4545D" w:rsidRDefault="007177C6" w:rsidP="00C4545D">
      <w:pPr>
        <w:numPr>
          <w:ilvl w:val="0"/>
          <w:numId w:val="4"/>
        </w:numPr>
        <w:tabs>
          <w:tab w:val="left" w:pos="993"/>
        </w:tabs>
        <w:spacing w:before="120" w:after="120"/>
        <w:ind w:left="993" w:hanging="426"/>
        <w:rPr>
          <w:rFonts w:ascii="Lato" w:hAnsi="Lato"/>
          <w:szCs w:val="22"/>
        </w:rPr>
      </w:pPr>
      <w:r w:rsidRPr="00C4545D">
        <w:rPr>
          <w:rFonts w:ascii="Lato" w:hAnsi="Lato"/>
          <w:szCs w:val="22"/>
        </w:rPr>
        <w:t xml:space="preserve">towary przeznaczone do niektórych typów samolotów do celów ich budowy, serwisu, konwersji lub wyposażenia </w:t>
      </w:r>
      <w:r w:rsidR="00126BE7" w:rsidRPr="00C4545D">
        <w:rPr>
          <w:rFonts w:ascii="Lato" w:hAnsi="Lato"/>
          <w:szCs w:val="22"/>
        </w:rPr>
        <w:t xml:space="preserve">– </w:t>
      </w:r>
      <w:r w:rsidRPr="00C4545D">
        <w:rPr>
          <w:rFonts w:ascii="Lato" w:hAnsi="Lato"/>
          <w:szCs w:val="22"/>
        </w:rPr>
        <w:t>w przypadku, gdy powyższy samolot jest przekazywany stronie trzeciej, lub jest ponownie postawiony do dyspozycji swojego właściciela po dokonaniu serwisu, naprawy lub konwersji,</w:t>
      </w:r>
    </w:p>
    <w:p w14:paraId="4AF608A5" w14:textId="77777777" w:rsidR="007177C6" w:rsidRPr="00C4545D" w:rsidRDefault="007177C6" w:rsidP="00C4545D">
      <w:pPr>
        <w:numPr>
          <w:ilvl w:val="0"/>
          <w:numId w:val="4"/>
        </w:numPr>
        <w:tabs>
          <w:tab w:val="left" w:pos="993"/>
        </w:tabs>
        <w:spacing w:before="120" w:after="120"/>
        <w:ind w:left="993" w:hanging="426"/>
        <w:rPr>
          <w:rFonts w:ascii="Lato" w:hAnsi="Lato"/>
          <w:szCs w:val="22"/>
        </w:rPr>
      </w:pPr>
      <w:r w:rsidRPr="00C4545D">
        <w:rPr>
          <w:rFonts w:ascii="Lato" w:hAnsi="Lato"/>
          <w:szCs w:val="22"/>
        </w:rPr>
        <w:t>samoloty cywilne – po dokonaniu ich rejestracji w publicznej ewidencji przeznaczonej do powyższych celów,</w:t>
      </w:r>
    </w:p>
    <w:p w14:paraId="5BB67782" w14:textId="77777777" w:rsidR="007177C6" w:rsidRPr="00C4545D" w:rsidRDefault="007177C6" w:rsidP="00C4545D">
      <w:pPr>
        <w:numPr>
          <w:ilvl w:val="0"/>
          <w:numId w:val="4"/>
        </w:numPr>
        <w:tabs>
          <w:tab w:val="left" w:pos="993"/>
        </w:tabs>
        <w:spacing w:before="120" w:after="120"/>
        <w:ind w:left="993" w:hanging="426"/>
        <w:rPr>
          <w:rFonts w:ascii="Lato" w:hAnsi="Lato"/>
          <w:szCs w:val="22"/>
        </w:rPr>
      </w:pPr>
      <w:r w:rsidRPr="00C4545D">
        <w:rPr>
          <w:rFonts w:ascii="Lato" w:hAnsi="Lato"/>
          <w:szCs w:val="22"/>
        </w:rPr>
        <w:t>części pojazdów mechanicznych używanych do montażu – w momencie, gdy montaż pojazdu został zakończony, a pojazd ten został przekazany innej osobie,</w:t>
      </w:r>
    </w:p>
    <w:p w14:paraId="0213A0B4" w14:textId="77777777" w:rsidR="007177C6" w:rsidRPr="00C4545D" w:rsidRDefault="007177C6" w:rsidP="00C4545D">
      <w:pPr>
        <w:numPr>
          <w:ilvl w:val="0"/>
          <w:numId w:val="4"/>
        </w:numPr>
        <w:tabs>
          <w:tab w:val="left" w:pos="993"/>
        </w:tabs>
        <w:spacing w:before="120" w:after="120"/>
        <w:ind w:left="993" w:hanging="426"/>
        <w:rPr>
          <w:rFonts w:ascii="Lato" w:hAnsi="Lato"/>
          <w:szCs w:val="22"/>
        </w:rPr>
      </w:pPr>
      <w:r w:rsidRPr="00C4545D">
        <w:rPr>
          <w:rFonts w:ascii="Lato" w:hAnsi="Lato"/>
          <w:szCs w:val="22"/>
        </w:rPr>
        <w:t>towary przeznaczone dla pewnych klas statków lub platform wiertniczych lub produkcyjnych w celu budowy, naprawy, serwisu, konwersji, zamontowania lub wyposażenia – w momencie, gdy powyższy statek lub platforma zostały przekazane stronie trzeciej, lub są ponownie postawione do dyspozycji swojego właściciela po dokonaniu serwisu, naprawy lub konwersji,</w:t>
      </w:r>
    </w:p>
    <w:p w14:paraId="4608D123" w14:textId="77777777" w:rsidR="007177C6" w:rsidRPr="00C4545D" w:rsidRDefault="007177C6" w:rsidP="00C4545D">
      <w:pPr>
        <w:numPr>
          <w:ilvl w:val="0"/>
          <w:numId w:val="4"/>
        </w:numPr>
        <w:tabs>
          <w:tab w:val="left" w:pos="993"/>
        </w:tabs>
        <w:spacing w:before="120" w:after="120"/>
        <w:ind w:left="993" w:hanging="426"/>
        <w:rPr>
          <w:rFonts w:ascii="Lato" w:hAnsi="Lato"/>
          <w:szCs w:val="22"/>
        </w:rPr>
      </w:pPr>
      <w:r w:rsidRPr="00C4545D">
        <w:rPr>
          <w:rFonts w:ascii="Lato" w:hAnsi="Lato"/>
          <w:szCs w:val="22"/>
        </w:rPr>
        <w:t xml:space="preserve">towary dostarczone bezpośrednio na pokład statków do celów wyposażenia statku – w momencie ich dostawy. </w:t>
      </w:r>
    </w:p>
    <w:p w14:paraId="0F4CF7F4" w14:textId="77777777" w:rsidR="0067256C" w:rsidRPr="00C4545D" w:rsidRDefault="00F70DF7" w:rsidP="00C4545D">
      <w:pPr>
        <w:pStyle w:val="Nagwek1"/>
        <w:jc w:val="left"/>
        <w:rPr>
          <w:rFonts w:ascii="Lato" w:hAnsi="Lato"/>
        </w:rPr>
      </w:pPr>
      <w:bookmarkStart w:id="5" w:name="_Toc299462835"/>
      <w:bookmarkStart w:id="6" w:name="_Toc302717047"/>
      <w:bookmarkStart w:id="7" w:name="_Toc459797898"/>
      <w:bookmarkStart w:id="8" w:name="_Toc461616102"/>
      <w:bookmarkStart w:id="9" w:name="_Toc292890531"/>
      <w:r w:rsidRPr="00C4545D">
        <w:rPr>
          <w:rFonts w:ascii="Lato" w:hAnsi="Lato"/>
        </w:rPr>
        <w:t>Wniosek o wydanie pozwolenia</w:t>
      </w:r>
      <w:r w:rsidR="007177C6" w:rsidRPr="00C4545D">
        <w:rPr>
          <w:rFonts w:ascii="Lato" w:hAnsi="Lato"/>
        </w:rPr>
        <w:t xml:space="preserve"> procedury końcowego przeznaczenia</w:t>
      </w:r>
      <w:bookmarkEnd w:id="5"/>
      <w:bookmarkEnd w:id="6"/>
      <w:bookmarkEnd w:id="7"/>
      <w:bookmarkEnd w:id="8"/>
      <w:r w:rsidR="002A50EA" w:rsidRPr="00C4545D">
        <w:rPr>
          <w:rFonts w:ascii="Lato" w:hAnsi="Lato"/>
        </w:rPr>
        <w:t xml:space="preserve"> („wniosek w formie pełnej”)</w:t>
      </w:r>
    </w:p>
    <w:p w14:paraId="16D0FFCB" w14:textId="77777777" w:rsidR="00767B1B" w:rsidRPr="00C4545D" w:rsidRDefault="00F70DF7" w:rsidP="00C4545D">
      <w:pPr>
        <w:tabs>
          <w:tab w:val="left" w:pos="567"/>
        </w:tabs>
        <w:spacing w:before="120" w:after="120"/>
        <w:ind w:left="567" w:hanging="567"/>
        <w:rPr>
          <w:rFonts w:ascii="Lato" w:hAnsi="Lato"/>
        </w:rPr>
      </w:pPr>
      <w:bookmarkStart w:id="10" w:name="_Toc302717049"/>
      <w:bookmarkStart w:id="11" w:name="_Toc459797900"/>
      <w:bookmarkEnd w:id="9"/>
      <w:r w:rsidRPr="00C4545D">
        <w:rPr>
          <w:rFonts w:ascii="Lato" w:hAnsi="Lato"/>
          <w:b/>
        </w:rPr>
        <w:t>7.</w:t>
      </w:r>
      <w:r w:rsidRPr="00C4545D">
        <w:rPr>
          <w:rFonts w:ascii="Lato" w:hAnsi="Lato"/>
        </w:rPr>
        <w:tab/>
      </w:r>
      <w:bookmarkEnd w:id="10"/>
      <w:bookmarkEnd w:id="11"/>
      <w:r w:rsidR="00F17E74" w:rsidRPr="00C4545D">
        <w:rPr>
          <w:rFonts w:ascii="Lato" w:hAnsi="Lato"/>
        </w:rPr>
        <w:t xml:space="preserve">Pozwolenie </w:t>
      </w:r>
      <w:r w:rsidR="00F17E74" w:rsidRPr="00C4545D">
        <w:rPr>
          <w:rFonts w:ascii="Lato" w:hAnsi="Lato"/>
          <w:szCs w:val="22"/>
        </w:rPr>
        <w:t>na korzystanie z końcowego przeznaczenia wydawane jest przez właściwy organ celny na wniosek osoby</w:t>
      </w:r>
      <w:r w:rsidR="005F25A3" w:rsidRPr="00C4545D">
        <w:rPr>
          <w:rFonts w:ascii="Lato" w:hAnsi="Lato"/>
          <w:szCs w:val="22"/>
        </w:rPr>
        <w:t xml:space="preserve"> ubiegającej się o takie pozwolenie.</w:t>
      </w:r>
    </w:p>
    <w:p w14:paraId="6AF1D267" w14:textId="79B24CA3" w:rsidR="00767B1B" w:rsidRPr="00C4545D" w:rsidRDefault="000258FE" w:rsidP="00C4545D">
      <w:pPr>
        <w:numPr>
          <w:ilvl w:val="0"/>
          <w:numId w:val="13"/>
        </w:numPr>
        <w:tabs>
          <w:tab w:val="left" w:pos="567"/>
        </w:tabs>
        <w:spacing w:before="120" w:after="120"/>
        <w:ind w:left="567" w:hanging="567"/>
        <w:rPr>
          <w:rFonts w:ascii="Lato" w:hAnsi="Lato"/>
        </w:rPr>
      </w:pPr>
      <w:r w:rsidRPr="00C4545D">
        <w:rPr>
          <w:rFonts w:ascii="Lato" w:hAnsi="Lato"/>
          <w:szCs w:val="22"/>
        </w:rPr>
        <w:t xml:space="preserve">Dane, które powinien zawierać wniosek o udzielenie pozwolenia na </w:t>
      </w:r>
      <w:r w:rsidR="00E944B7" w:rsidRPr="00C4545D">
        <w:rPr>
          <w:rFonts w:ascii="Lato" w:hAnsi="Lato"/>
          <w:szCs w:val="22"/>
        </w:rPr>
        <w:t xml:space="preserve">korzystanie </w:t>
      </w:r>
      <w:r w:rsidR="00C4545D">
        <w:rPr>
          <w:rFonts w:ascii="Lato" w:hAnsi="Lato"/>
          <w:szCs w:val="22"/>
        </w:rPr>
        <w:br/>
      </w:r>
      <w:r w:rsidR="00E944B7" w:rsidRPr="00C4545D">
        <w:rPr>
          <w:rFonts w:ascii="Lato" w:hAnsi="Lato"/>
          <w:szCs w:val="22"/>
        </w:rPr>
        <w:t xml:space="preserve">z </w:t>
      </w:r>
      <w:r w:rsidRPr="00C4545D">
        <w:rPr>
          <w:rFonts w:ascii="Lato" w:hAnsi="Lato"/>
          <w:szCs w:val="22"/>
        </w:rPr>
        <w:t>końcowe</w:t>
      </w:r>
      <w:r w:rsidR="00E944B7" w:rsidRPr="00C4545D">
        <w:rPr>
          <w:rFonts w:ascii="Lato" w:hAnsi="Lato"/>
          <w:szCs w:val="22"/>
        </w:rPr>
        <w:t xml:space="preserve">go przeznaczenia </w:t>
      </w:r>
      <w:r w:rsidRPr="00C4545D">
        <w:rPr>
          <w:rFonts w:ascii="Lato" w:hAnsi="Lato"/>
          <w:szCs w:val="22"/>
        </w:rPr>
        <w:t xml:space="preserve">zostały określone </w:t>
      </w:r>
      <w:r w:rsidRPr="0006391B">
        <w:rPr>
          <w:rFonts w:ascii="Lato" w:hAnsi="Lato"/>
          <w:b/>
          <w:szCs w:val="22"/>
        </w:rPr>
        <w:t>w kolumnie</w:t>
      </w:r>
      <w:r w:rsidR="0006391B">
        <w:rPr>
          <w:rFonts w:ascii="Lato" w:hAnsi="Lato"/>
          <w:b/>
          <w:szCs w:val="22"/>
        </w:rPr>
        <w:t xml:space="preserve"> EUS</w:t>
      </w:r>
      <w:r w:rsidRPr="0006391B">
        <w:rPr>
          <w:rFonts w:ascii="Lato" w:hAnsi="Lato"/>
          <w:b/>
          <w:szCs w:val="22"/>
        </w:rPr>
        <w:t xml:space="preserve"> </w:t>
      </w:r>
      <w:r w:rsidR="0006391B">
        <w:rPr>
          <w:rFonts w:ascii="Lato" w:hAnsi="Lato"/>
          <w:b/>
          <w:szCs w:val="22"/>
        </w:rPr>
        <w:t>(</w:t>
      </w:r>
      <w:r w:rsidRPr="0006391B">
        <w:rPr>
          <w:rFonts w:ascii="Lato" w:hAnsi="Lato"/>
          <w:b/>
          <w:szCs w:val="22"/>
        </w:rPr>
        <w:t>8c</w:t>
      </w:r>
      <w:r w:rsidR="0006391B">
        <w:rPr>
          <w:rFonts w:ascii="Lato" w:hAnsi="Lato"/>
          <w:b/>
          <w:szCs w:val="22"/>
        </w:rPr>
        <w:t>)</w:t>
      </w:r>
      <w:r w:rsidRPr="00C4545D">
        <w:rPr>
          <w:rFonts w:ascii="Lato" w:hAnsi="Lato"/>
          <w:szCs w:val="22"/>
        </w:rPr>
        <w:t xml:space="preserve"> tabeli wymogów dotyczących danych wniosków i decyzji w załączniku A do RD</w:t>
      </w:r>
      <w:r w:rsidR="00644B59" w:rsidRPr="00C4545D">
        <w:rPr>
          <w:rFonts w:ascii="Lato" w:hAnsi="Lato"/>
          <w:szCs w:val="22"/>
        </w:rPr>
        <w:t>.</w:t>
      </w:r>
    </w:p>
    <w:p w14:paraId="042688F1" w14:textId="77777777" w:rsidR="00F96EA3" w:rsidRDefault="00644B59" w:rsidP="00F96EA3">
      <w:pPr>
        <w:numPr>
          <w:ilvl w:val="0"/>
          <w:numId w:val="13"/>
        </w:numPr>
        <w:tabs>
          <w:tab w:val="left" w:pos="567"/>
        </w:tabs>
        <w:spacing w:before="120" w:after="120"/>
        <w:ind w:left="567" w:hanging="567"/>
        <w:rPr>
          <w:rFonts w:ascii="Lato" w:hAnsi="Lato"/>
        </w:rPr>
      </w:pPr>
      <w:r w:rsidRPr="00C4545D">
        <w:rPr>
          <w:rFonts w:ascii="Lato" w:hAnsi="Lato"/>
          <w:szCs w:val="22"/>
        </w:rPr>
        <w:t>Gdy procedura jest realizowana w jednym państwie członkowskim,</w:t>
      </w:r>
      <w:r w:rsidR="00045FC3" w:rsidRPr="00C4545D">
        <w:rPr>
          <w:rFonts w:ascii="Lato" w:hAnsi="Lato"/>
          <w:szCs w:val="22"/>
        </w:rPr>
        <w:t xml:space="preserve"> </w:t>
      </w:r>
      <w:r w:rsidRPr="00C4545D">
        <w:rPr>
          <w:rFonts w:ascii="Lato" w:hAnsi="Lato"/>
          <w:szCs w:val="22"/>
        </w:rPr>
        <w:t xml:space="preserve">we wniosku (tzw. wniosku krajowym) </w:t>
      </w:r>
      <w:r w:rsidR="00045FC3" w:rsidRPr="00C4545D">
        <w:rPr>
          <w:rFonts w:ascii="Lato" w:hAnsi="Lato"/>
          <w:szCs w:val="22"/>
        </w:rPr>
        <w:t xml:space="preserve">należy podać informacje zgodnie z wykazem i opisem </w:t>
      </w:r>
      <w:r w:rsidRPr="00C4545D">
        <w:rPr>
          <w:rFonts w:ascii="Lato" w:hAnsi="Lato"/>
          <w:szCs w:val="22"/>
        </w:rPr>
        <w:t xml:space="preserve">zawartym </w:t>
      </w:r>
      <w:r w:rsidR="00C4545D">
        <w:rPr>
          <w:rFonts w:ascii="Lato" w:hAnsi="Lato"/>
          <w:szCs w:val="22"/>
        </w:rPr>
        <w:br/>
      </w:r>
      <w:r w:rsidR="00045FC3" w:rsidRPr="00C4545D">
        <w:rPr>
          <w:rFonts w:ascii="Lato" w:hAnsi="Lato"/>
          <w:szCs w:val="22"/>
        </w:rPr>
        <w:t>w załączniku A do RD</w:t>
      </w:r>
      <w:r w:rsidRPr="00C4545D">
        <w:rPr>
          <w:rFonts w:ascii="Lato" w:hAnsi="Lato"/>
          <w:szCs w:val="22"/>
        </w:rPr>
        <w:t xml:space="preserve"> i</w:t>
      </w:r>
      <w:r w:rsidR="00045FC3" w:rsidRPr="00C4545D">
        <w:rPr>
          <w:rFonts w:ascii="Lato" w:hAnsi="Lato"/>
          <w:szCs w:val="22"/>
        </w:rPr>
        <w:t xml:space="preserve"> z uwzględnieniem kodów określonych w zał. A do RW. </w:t>
      </w:r>
      <w:r w:rsidR="002F49FB" w:rsidRPr="00C4545D">
        <w:rPr>
          <w:rFonts w:ascii="Lato" w:hAnsi="Lato"/>
          <w:szCs w:val="22"/>
        </w:rPr>
        <w:t xml:space="preserve">Wniosek składany jest w formie papierowej. Rekomendowany przez polskie organy celno-skarbowe wzór wniosku </w:t>
      </w:r>
      <w:r w:rsidR="007F0CB8" w:rsidRPr="00C4545D">
        <w:rPr>
          <w:rFonts w:ascii="Lato" w:hAnsi="Lato"/>
          <w:szCs w:val="22"/>
        </w:rPr>
        <w:t xml:space="preserve">jest dostępny na stronie internetowej </w:t>
      </w:r>
      <w:hyperlink r:id="rId9" w:history="1">
        <w:r w:rsidR="007F0CB8" w:rsidRPr="00C4545D">
          <w:rPr>
            <w:rStyle w:val="Hipercze"/>
            <w:rFonts w:ascii="Lato" w:hAnsi="Lato"/>
            <w:szCs w:val="22"/>
          </w:rPr>
          <w:t>www.biznes.gov.pl</w:t>
        </w:r>
      </w:hyperlink>
      <w:r w:rsidR="007F0CB8" w:rsidRPr="00C4545D">
        <w:rPr>
          <w:rFonts w:ascii="Lato" w:hAnsi="Lato"/>
          <w:szCs w:val="22"/>
        </w:rPr>
        <w:t xml:space="preserve"> w </w:t>
      </w:r>
      <w:hyperlink r:id="rId10" w:history="1">
        <w:r w:rsidR="007F0CB8" w:rsidRPr="00C4545D">
          <w:rPr>
            <w:rStyle w:val="Hipercze"/>
            <w:rFonts w:ascii="Lato" w:hAnsi="Lato"/>
            <w:szCs w:val="22"/>
          </w:rPr>
          <w:t>opisie usługi dotyczącej procedury końcowego przeznaczenia</w:t>
        </w:r>
      </w:hyperlink>
      <w:r w:rsidR="00082219" w:rsidRPr="00C4545D">
        <w:rPr>
          <w:rFonts w:ascii="Lato" w:hAnsi="Lato"/>
          <w:szCs w:val="22"/>
        </w:rPr>
        <w:t>.</w:t>
      </w:r>
      <w:r w:rsidR="007F0CB8" w:rsidRPr="00C4545D">
        <w:rPr>
          <w:rFonts w:ascii="Lato" w:hAnsi="Lato"/>
          <w:szCs w:val="22"/>
        </w:rPr>
        <w:t xml:space="preserve"> </w:t>
      </w:r>
    </w:p>
    <w:p w14:paraId="33C84E6E" w14:textId="77777777" w:rsidR="00F96EA3" w:rsidRPr="00F96EA3" w:rsidRDefault="004B29AF" w:rsidP="00F96EA3">
      <w:pPr>
        <w:numPr>
          <w:ilvl w:val="0"/>
          <w:numId w:val="13"/>
        </w:numPr>
        <w:tabs>
          <w:tab w:val="left" w:pos="567"/>
        </w:tabs>
        <w:spacing w:before="120" w:after="120"/>
        <w:ind w:left="567" w:hanging="567"/>
        <w:rPr>
          <w:rFonts w:ascii="Lato" w:hAnsi="Lato"/>
        </w:rPr>
      </w:pPr>
      <w:r w:rsidRPr="00F96EA3">
        <w:rPr>
          <w:rFonts w:ascii="Lato" w:hAnsi="Lato"/>
          <w:szCs w:val="22"/>
        </w:rPr>
        <w:t xml:space="preserve">Gdy procedura jest realizowana </w:t>
      </w:r>
      <w:r w:rsidR="00045FC3" w:rsidRPr="00F96EA3">
        <w:rPr>
          <w:rFonts w:ascii="Lato" w:hAnsi="Lato"/>
          <w:szCs w:val="22"/>
        </w:rPr>
        <w:t xml:space="preserve">w więcej niż jednym państwie UE, </w:t>
      </w:r>
      <w:r w:rsidR="002F49FB" w:rsidRPr="00F96EA3">
        <w:rPr>
          <w:rFonts w:ascii="Lato" w:hAnsi="Lato"/>
          <w:szCs w:val="22"/>
        </w:rPr>
        <w:t xml:space="preserve">wniosek </w:t>
      </w:r>
      <w:r w:rsidRPr="00F96EA3">
        <w:rPr>
          <w:rFonts w:ascii="Lato" w:hAnsi="Lato"/>
          <w:szCs w:val="22"/>
        </w:rPr>
        <w:t xml:space="preserve">(tzw. </w:t>
      </w:r>
      <w:r w:rsidR="00644B59" w:rsidRPr="00F96EA3">
        <w:rPr>
          <w:rFonts w:ascii="Lato" w:hAnsi="Lato"/>
          <w:szCs w:val="22"/>
        </w:rPr>
        <w:t>wnios</w:t>
      </w:r>
      <w:r w:rsidR="002F49FB" w:rsidRPr="00F96EA3">
        <w:rPr>
          <w:rFonts w:ascii="Lato" w:hAnsi="Lato"/>
          <w:szCs w:val="22"/>
        </w:rPr>
        <w:t>ek</w:t>
      </w:r>
      <w:r w:rsidR="00644B59" w:rsidRPr="00F96EA3">
        <w:rPr>
          <w:rFonts w:ascii="Lato" w:hAnsi="Lato"/>
          <w:szCs w:val="22"/>
        </w:rPr>
        <w:t xml:space="preserve"> </w:t>
      </w:r>
      <w:r w:rsidR="00045FC3" w:rsidRPr="00F96EA3">
        <w:rPr>
          <w:rFonts w:ascii="Lato" w:hAnsi="Lato"/>
          <w:szCs w:val="22"/>
        </w:rPr>
        <w:t>unijn</w:t>
      </w:r>
      <w:r w:rsidR="002F49FB" w:rsidRPr="00F96EA3">
        <w:rPr>
          <w:rFonts w:ascii="Lato" w:hAnsi="Lato"/>
          <w:szCs w:val="22"/>
        </w:rPr>
        <w:t>y</w:t>
      </w:r>
      <w:r w:rsidR="007F0CB8" w:rsidRPr="00F96EA3">
        <w:rPr>
          <w:rFonts w:ascii="Lato" w:hAnsi="Lato"/>
          <w:szCs w:val="22"/>
        </w:rPr>
        <w:t>)</w:t>
      </w:r>
      <w:r w:rsidR="00045FC3" w:rsidRPr="00F96EA3">
        <w:rPr>
          <w:rFonts w:ascii="Lato" w:hAnsi="Lato"/>
          <w:szCs w:val="22"/>
        </w:rPr>
        <w:t xml:space="preserve"> należy </w:t>
      </w:r>
      <w:r w:rsidR="002F49FB" w:rsidRPr="00F96EA3">
        <w:rPr>
          <w:rFonts w:ascii="Lato" w:hAnsi="Lato"/>
          <w:szCs w:val="22"/>
        </w:rPr>
        <w:t xml:space="preserve">złożyć wykorzystując do tego </w:t>
      </w:r>
      <w:r w:rsidR="00045FC3" w:rsidRPr="00F96EA3">
        <w:rPr>
          <w:rFonts w:ascii="Lato" w:hAnsi="Lato"/>
          <w:szCs w:val="22"/>
        </w:rPr>
        <w:t>formularz elektroniczny ud</w:t>
      </w:r>
      <w:r w:rsidR="00644B59" w:rsidRPr="00F96EA3">
        <w:rPr>
          <w:rFonts w:ascii="Lato" w:hAnsi="Lato"/>
          <w:szCs w:val="22"/>
        </w:rPr>
        <w:t>o</w:t>
      </w:r>
      <w:r w:rsidR="00045FC3" w:rsidRPr="00F96EA3">
        <w:rPr>
          <w:rFonts w:ascii="Lato" w:hAnsi="Lato"/>
          <w:szCs w:val="22"/>
        </w:rPr>
        <w:t xml:space="preserve">stępniony przez KE za pośrednictwem </w:t>
      </w:r>
      <w:hyperlink r:id="rId11" w:history="1">
        <w:r w:rsidR="00045FC3" w:rsidRPr="00F96EA3">
          <w:rPr>
            <w:rStyle w:val="Hipercze"/>
            <w:rFonts w:ascii="Lato" w:hAnsi="Lato"/>
            <w:color w:val="auto"/>
            <w:szCs w:val="22"/>
            <w:u w:val="none"/>
          </w:rPr>
          <w:t>unijnego portalu dla przedsiębiorców</w:t>
        </w:r>
      </w:hyperlink>
      <w:r w:rsidR="00045FC3" w:rsidRPr="00F96EA3">
        <w:rPr>
          <w:rFonts w:ascii="Lato" w:hAnsi="Lato"/>
          <w:szCs w:val="22"/>
        </w:rPr>
        <w:t xml:space="preserve"> (</w:t>
      </w:r>
      <w:proofErr w:type="spellStart"/>
      <w:r w:rsidR="00045FC3" w:rsidRPr="00F96EA3">
        <w:rPr>
          <w:rFonts w:ascii="Lato" w:hAnsi="Lato"/>
          <w:szCs w:val="22"/>
        </w:rPr>
        <w:t>Trader</w:t>
      </w:r>
      <w:proofErr w:type="spellEnd"/>
      <w:r w:rsidR="00045FC3" w:rsidRPr="00F96EA3">
        <w:rPr>
          <w:rFonts w:ascii="Lato" w:hAnsi="Lato"/>
          <w:szCs w:val="22"/>
        </w:rPr>
        <w:t xml:space="preserve"> portal) i wysłać go do </w:t>
      </w:r>
      <w:r w:rsidR="002F49FB" w:rsidRPr="00F96EA3">
        <w:rPr>
          <w:rFonts w:ascii="Lato" w:hAnsi="Lato"/>
          <w:szCs w:val="22"/>
        </w:rPr>
        <w:t xml:space="preserve">unijnego </w:t>
      </w:r>
      <w:r w:rsidR="00045FC3" w:rsidRPr="00F96EA3">
        <w:rPr>
          <w:rFonts w:ascii="Lato" w:hAnsi="Lato"/>
          <w:szCs w:val="22"/>
        </w:rPr>
        <w:t xml:space="preserve">systemu </w:t>
      </w:r>
      <w:r w:rsidR="002F49FB" w:rsidRPr="00F96EA3">
        <w:rPr>
          <w:rFonts w:ascii="Lato" w:hAnsi="Lato"/>
          <w:szCs w:val="22"/>
        </w:rPr>
        <w:t>Decyzje Celne (</w:t>
      </w:r>
      <w:r w:rsidR="00045FC3" w:rsidRPr="00F96EA3">
        <w:rPr>
          <w:rFonts w:ascii="Lato" w:hAnsi="Lato"/>
          <w:szCs w:val="22"/>
        </w:rPr>
        <w:t>CDS</w:t>
      </w:r>
      <w:r w:rsidR="002F49FB" w:rsidRPr="00F96EA3">
        <w:rPr>
          <w:rFonts w:ascii="Lato" w:hAnsi="Lato"/>
          <w:szCs w:val="22"/>
        </w:rPr>
        <w:t>)</w:t>
      </w:r>
      <w:r w:rsidR="00045FC3" w:rsidRPr="00F96EA3">
        <w:rPr>
          <w:rFonts w:ascii="Lato" w:hAnsi="Lato"/>
          <w:szCs w:val="22"/>
        </w:rPr>
        <w:t xml:space="preserve">. </w:t>
      </w:r>
      <w:r w:rsidR="002F49FB" w:rsidRPr="00F96EA3">
        <w:rPr>
          <w:rFonts w:ascii="Lato" w:hAnsi="Lato"/>
          <w:szCs w:val="22"/>
        </w:rPr>
        <w:t>System ten został opracowany przez</w:t>
      </w:r>
      <w:r w:rsidR="007F0CB8" w:rsidRPr="00F96EA3">
        <w:rPr>
          <w:rFonts w:ascii="Lato" w:hAnsi="Lato"/>
          <w:szCs w:val="22"/>
        </w:rPr>
        <w:t xml:space="preserve"> Komisję</w:t>
      </w:r>
      <w:r w:rsidR="002F49FB" w:rsidRPr="00F96EA3">
        <w:rPr>
          <w:rFonts w:ascii="Lato" w:hAnsi="Lato"/>
          <w:szCs w:val="22"/>
        </w:rPr>
        <w:t xml:space="preserve"> Europejską i jest przeznaczony do obsługi wniosków i decyzji celnych. W Polsce CDS obsługuje wyłącznie wnioski i pozwolenia unijne, czyli takie, gdzie procedura jest realizowana w więcej niż jednym państwie członkowskim. </w:t>
      </w:r>
      <w:r w:rsidR="00045FC3" w:rsidRPr="00F96EA3">
        <w:rPr>
          <w:rFonts w:ascii="Lato" w:hAnsi="Lato"/>
          <w:szCs w:val="22"/>
        </w:rPr>
        <w:t xml:space="preserve">Więcej informacji </w:t>
      </w:r>
      <w:r w:rsidR="002F49FB" w:rsidRPr="00F96EA3">
        <w:rPr>
          <w:rFonts w:ascii="Lato" w:hAnsi="Lato"/>
          <w:szCs w:val="22"/>
        </w:rPr>
        <w:t xml:space="preserve">na temat systemu CDS </w:t>
      </w:r>
      <w:r w:rsidR="00045FC3" w:rsidRPr="00F96EA3">
        <w:rPr>
          <w:rFonts w:ascii="Lato" w:hAnsi="Lato"/>
          <w:szCs w:val="22"/>
        </w:rPr>
        <w:t xml:space="preserve">można znaleźć na </w:t>
      </w:r>
      <w:hyperlink r:id="rId12" w:history="1">
        <w:r w:rsidR="00883647" w:rsidRPr="00F96EA3">
          <w:rPr>
            <w:rStyle w:val="Hipercze"/>
            <w:rFonts w:ascii="Lato" w:hAnsi="Lato"/>
            <w:szCs w:val="22"/>
          </w:rPr>
          <w:t>www.puesc.gov.pl</w:t>
        </w:r>
      </w:hyperlink>
      <w:bookmarkStart w:id="12" w:name="OLE_LINK1"/>
      <w:bookmarkStart w:id="13" w:name="OLE_LINK2"/>
      <w:r w:rsidR="009D3729" w:rsidRPr="00F96EA3">
        <w:rPr>
          <w:rFonts w:ascii="Lato" w:hAnsi="Lato"/>
          <w:szCs w:val="22"/>
        </w:rPr>
        <w:t>.</w:t>
      </w:r>
      <w:bookmarkEnd w:id="12"/>
      <w:bookmarkEnd w:id="13"/>
    </w:p>
    <w:p w14:paraId="758395F0" w14:textId="77777777" w:rsidR="00F96EA3" w:rsidRPr="00F96EA3" w:rsidRDefault="003B12FC" w:rsidP="00F96EA3">
      <w:pPr>
        <w:numPr>
          <w:ilvl w:val="0"/>
          <w:numId w:val="13"/>
        </w:numPr>
        <w:tabs>
          <w:tab w:val="left" w:pos="567"/>
        </w:tabs>
        <w:spacing w:before="120" w:after="120"/>
        <w:ind w:left="567" w:hanging="567"/>
        <w:rPr>
          <w:rFonts w:ascii="Lato" w:hAnsi="Lato"/>
        </w:rPr>
      </w:pPr>
      <w:r w:rsidRPr="00F96EA3">
        <w:rPr>
          <w:rFonts w:ascii="Lato" w:hAnsi="Lato"/>
          <w:szCs w:val="22"/>
        </w:rPr>
        <w:t>Jeżeli wnioskodawca ma siedzibę na obszarze celnym Unii, w</w:t>
      </w:r>
      <w:r w:rsidR="007177C6" w:rsidRPr="00F96EA3">
        <w:rPr>
          <w:rFonts w:ascii="Lato" w:hAnsi="Lato"/>
          <w:szCs w:val="22"/>
        </w:rPr>
        <w:t>niosek składa się do naczelnika urzędu celn</w:t>
      </w:r>
      <w:r w:rsidR="00D6610C" w:rsidRPr="00F96EA3">
        <w:rPr>
          <w:rFonts w:ascii="Lato" w:hAnsi="Lato"/>
          <w:szCs w:val="22"/>
        </w:rPr>
        <w:t>o-skarbow</w:t>
      </w:r>
      <w:r w:rsidR="007177C6" w:rsidRPr="00F96EA3">
        <w:rPr>
          <w:rFonts w:ascii="Lato" w:hAnsi="Lato"/>
          <w:szCs w:val="22"/>
        </w:rPr>
        <w:t xml:space="preserve">ego właściwego ze względu na miejsce, w którym są prowadzone lub dostępne główne księgi rachunkowe wnioskodawcy na potrzeby celne (prowadzona jest odpowiednia ewidencja, zawierająca wszystkie niezbędne informacje i szczegóły techniczne przywożonych towarów) i gdzie </w:t>
      </w:r>
      <w:r w:rsidRPr="00F96EA3">
        <w:rPr>
          <w:rFonts w:ascii="Lato" w:hAnsi="Lato"/>
          <w:szCs w:val="22"/>
        </w:rPr>
        <w:t>będzie wykonywana przynajmniej część czynności dotyczących towarów lub gdzie towary osiągną końcowe przeznaczenie.</w:t>
      </w:r>
    </w:p>
    <w:p w14:paraId="0FC458FD" w14:textId="77777777" w:rsidR="00F96EA3" w:rsidRPr="00F96EA3" w:rsidRDefault="007177C6" w:rsidP="00F96EA3">
      <w:pPr>
        <w:tabs>
          <w:tab w:val="left" w:pos="567"/>
        </w:tabs>
        <w:spacing w:before="120" w:after="120"/>
        <w:ind w:left="567"/>
        <w:rPr>
          <w:rFonts w:ascii="Lato" w:hAnsi="Lato"/>
        </w:rPr>
      </w:pPr>
      <w:r w:rsidRPr="00F96EA3">
        <w:rPr>
          <w:rFonts w:ascii="Lato" w:hAnsi="Lato"/>
          <w:szCs w:val="22"/>
        </w:rPr>
        <w:t xml:space="preserve">Jeżeli nie można określić właściwości zgodnie z opisaną </w:t>
      </w:r>
      <w:r w:rsidR="003B12FC" w:rsidRPr="00F96EA3">
        <w:rPr>
          <w:rFonts w:ascii="Lato" w:hAnsi="Lato"/>
          <w:szCs w:val="22"/>
        </w:rPr>
        <w:t xml:space="preserve">powyżej </w:t>
      </w:r>
      <w:r w:rsidRPr="00F96EA3">
        <w:rPr>
          <w:rFonts w:ascii="Lato" w:hAnsi="Lato"/>
          <w:szCs w:val="22"/>
        </w:rPr>
        <w:t xml:space="preserve">zasadą, </w:t>
      </w:r>
      <w:r w:rsidR="003B12FC" w:rsidRPr="00F96EA3">
        <w:rPr>
          <w:rFonts w:ascii="Lato" w:hAnsi="Lato"/>
          <w:szCs w:val="22"/>
        </w:rPr>
        <w:t xml:space="preserve">wniosek składa się do naczelnika urzędu celno-skarbowego właściwego dla miejsca gdzie </w:t>
      </w:r>
      <w:r w:rsidR="003B12FC" w:rsidRPr="00F96EA3">
        <w:rPr>
          <w:rFonts w:ascii="Lato" w:hAnsi="Lato" w:cs="Arial"/>
          <w:szCs w:val="22"/>
          <w:lang w:eastAsia="pl-PL"/>
        </w:rPr>
        <w:t>są prowadzone lub dostępne główne księgi rachunkowe wnioskodawcy na potrzeby celne.</w:t>
      </w:r>
    </w:p>
    <w:p w14:paraId="026DB3FA" w14:textId="29893509" w:rsidR="007177C6" w:rsidRPr="00F96EA3" w:rsidRDefault="007177C6" w:rsidP="00F96EA3">
      <w:pPr>
        <w:numPr>
          <w:ilvl w:val="0"/>
          <w:numId w:val="13"/>
        </w:numPr>
        <w:tabs>
          <w:tab w:val="left" w:pos="567"/>
        </w:tabs>
        <w:spacing w:before="120" w:after="120"/>
        <w:ind w:left="567" w:hanging="567"/>
        <w:rPr>
          <w:rFonts w:ascii="Lato" w:hAnsi="Lato"/>
        </w:rPr>
      </w:pPr>
      <w:r w:rsidRPr="00F96EA3">
        <w:rPr>
          <w:rFonts w:ascii="Lato" w:hAnsi="Lato"/>
          <w:szCs w:val="22"/>
        </w:rPr>
        <w:t>W przypadku</w:t>
      </w:r>
      <w:r w:rsidR="00045FC3" w:rsidRPr="00F96EA3">
        <w:rPr>
          <w:rFonts w:ascii="Lato" w:hAnsi="Lato"/>
          <w:szCs w:val="22"/>
        </w:rPr>
        <w:t xml:space="preserve"> </w:t>
      </w:r>
      <w:r w:rsidRPr="00F96EA3">
        <w:rPr>
          <w:rFonts w:ascii="Lato" w:hAnsi="Lato"/>
          <w:szCs w:val="22"/>
        </w:rPr>
        <w:t>gdy wnioskodawca ma siedzibę poza obszarem celnym Unii, wniosek składa się do naczelnika urzędu celn</w:t>
      </w:r>
      <w:r w:rsidR="00D6610C" w:rsidRPr="00F96EA3">
        <w:rPr>
          <w:rFonts w:ascii="Lato" w:hAnsi="Lato"/>
          <w:szCs w:val="22"/>
        </w:rPr>
        <w:t>o-skarbow</w:t>
      </w:r>
      <w:r w:rsidRPr="00F96EA3">
        <w:rPr>
          <w:rFonts w:ascii="Lato" w:hAnsi="Lato"/>
          <w:szCs w:val="22"/>
        </w:rPr>
        <w:t xml:space="preserve">ego właściwego dla miejsca, w którym towary będą po raz pierwszy użyte. </w:t>
      </w:r>
    </w:p>
    <w:p w14:paraId="459E1FEA" w14:textId="77777777" w:rsidR="007177C6" w:rsidRPr="00C4545D" w:rsidRDefault="00E602C7" w:rsidP="00C4545D">
      <w:pPr>
        <w:pStyle w:val="Nagwek1"/>
        <w:jc w:val="left"/>
        <w:rPr>
          <w:rFonts w:ascii="Lato" w:hAnsi="Lato"/>
        </w:rPr>
      </w:pPr>
      <w:r w:rsidRPr="00C4545D">
        <w:rPr>
          <w:rFonts w:ascii="Lato" w:hAnsi="Lato"/>
        </w:rPr>
        <w:t xml:space="preserve">Wniosek o udzielenie pozwolenia sporządzony na podstawie zgłoszenia celnego </w:t>
      </w:r>
      <w:bookmarkStart w:id="14" w:name="_Toc302717054"/>
      <w:bookmarkStart w:id="15" w:name="_Toc459797901"/>
      <w:r w:rsidRPr="00C4545D">
        <w:rPr>
          <w:rFonts w:ascii="Lato" w:hAnsi="Lato"/>
        </w:rPr>
        <w:t>(„wniosek w formie skróconej</w:t>
      </w:r>
      <w:bookmarkEnd w:id="14"/>
      <w:bookmarkEnd w:id="15"/>
      <w:r w:rsidRPr="00C4545D">
        <w:rPr>
          <w:rFonts w:ascii="Lato" w:hAnsi="Lato"/>
        </w:rPr>
        <w:t>”)</w:t>
      </w:r>
    </w:p>
    <w:p w14:paraId="5E3B2049" w14:textId="29DED201" w:rsidR="00D539EC" w:rsidRPr="00C4545D" w:rsidRDefault="00E602C7" w:rsidP="00F96EA3">
      <w:pPr>
        <w:pStyle w:val="Tekstpodstawowy2"/>
        <w:numPr>
          <w:ilvl w:val="0"/>
          <w:numId w:val="13"/>
        </w:numPr>
        <w:spacing w:before="120" w:after="120"/>
        <w:ind w:left="567" w:hanging="502"/>
        <w:jc w:val="left"/>
        <w:rPr>
          <w:rFonts w:ascii="Lato" w:hAnsi="Lato"/>
          <w:szCs w:val="22"/>
        </w:rPr>
      </w:pPr>
      <w:r w:rsidRPr="00C4545D">
        <w:rPr>
          <w:rFonts w:ascii="Lato" w:hAnsi="Lato"/>
          <w:szCs w:val="22"/>
        </w:rPr>
        <w:t>Za w</w:t>
      </w:r>
      <w:r w:rsidR="007177C6" w:rsidRPr="00C4545D">
        <w:rPr>
          <w:rFonts w:ascii="Lato" w:hAnsi="Lato"/>
          <w:szCs w:val="22"/>
        </w:rPr>
        <w:t xml:space="preserve">niosek o udzielenie pozwolenia </w:t>
      </w:r>
      <w:r w:rsidR="00D539EC" w:rsidRPr="00C4545D">
        <w:rPr>
          <w:rFonts w:ascii="Lato" w:hAnsi="Lato"/>
          <w:szCs w:val="22"/>
        </w:rPr>
        <w:t xml:space="preserve">może </w:t>
      </w:r>
      <w:r w:rsidRPr="00C4545D">
        <w:rPr>
          <w:rFonts w:ascii="Lato" w:hAnsi="Lato"/>
          <w:szCs w:val="22"/>
        </w:rPr>
        <w:t xml:space="preserve">być uznane dokonanie </w:t>
      </w:r>
      <w:r w:rsidR="007177C6" w:rsidRPr="00C4545D">
        <w:rPr>
          <w:rFonts w:ascii="Lato" w:hAnsi="Lato"/>
          <w:szCs w:val="22"/>
        </w:rPr>
        <w:t>zgłoszenia celnego</w:t>
      </w:r>
      <w:r w:rsidRPr="00C4545D">
        <w:rPr>
          <w:rFonts w:ascii="Lato" w:hAnsi="Lato"/>
          <w:szCs w:val="22"/>
        </w:rPr>
        <w:t xml:space="preserve"> do procedury końcowego przeznaczenia</w:t>
      </w:r>
      <w:r w:rsidR="00D539EC" w:rsidRPr="00C4545D">
        <w:rPr>
          <w:rFonts w:ascii="Lato" w:hAnsi="Lato"/>
          <w:szCs w:val="22"/>
        </w:rPr>
        <w:t>. W takim przypadku</w:t>
      </w:r>
      <w:r w:rsidR="007177C6" w:rsidRPr="00C4545D">
        <w:rPr>
          <w:rFonts w:ascii="Lato" w:hAnsi="Lato"/>
          <w:szCs w:val="22"/>
        </w:rPr>
        <w:t xml:space="preserve"> pozwolenie jest udzielane poprzez zwolnienie towarów do procedury na podstawie tego zgłoszenia. </w:t>
      </w:r>
      <w:r w:rsidR="007177C6" w:rsidRPr="00C4545D">
        <w:rPr>
          <w:rFonts w:ascii="Lato" w:hAnsi="Lato"/>
          <w:bCs/>
          <w:szCs w:val="22"/>
        </w:rPr>
        <w:t>Takie pozwolenie można wydać tylko, jeśli końcowe przeznaczenie będzie nadane w całości towarom objętym wnioskiem</w:t>
      </w:r>
      <w:r w:rsidR="00E944B7" w:rsidRPr="00C4545D">
        <w:rPr>
          <w:rFonts w:ascii="Lato" w:hAnsi="Lato"/>
          <w:bCs/>
          <w:szCs w:val="22"/>
        </w:rPr>
        <w:t>,</w:t>
      </w:r>
      <w:r w:rsidR="007177C6" w:rsidRPr="00C4545D">
        <w:rPr>
          <w:rFonts w:ascii="Lato" w:hAnsi="Lato"/>
          <w:bCs/>
          <w:szCs w:val="22"/>
        </w:rPr>
        <w:t xml:space="preserve"> a pozwolenie będzie stosowane na terytorium jednego państwa</w:t>
      </w:r>
      <w:r w:rsidR="00D539EC" w:rsidRPr="00C4545D">
        <w:rPr>
          <w:rFonts w:ascii="Lato" w:hAnsi="Lato"/>
          <w:bCs/>
          <w:szCs w:val="22"/>
        </w:rPr>
        <w:t>, zaś</w:t>
      </w:r>
      <w:r w:rsidR="003856C4">
        <w:rPr>
          <w:rFonts w:ascii="Lato" w:hAnsi="Lato"/>
          <w:bCs/>
          <w:szCs w:val="22"/>
        </w:rPr>
        <w:t xml:space="preserve"> towar musi osiągnąć swoje </w:t>
      </w:r>
      <w:r w:rsidR="00F35D30">
        <w:rPr>
          <w:rFonts w:ascii="Lato" w:hAnsi="Lato"/>
          <w:bCs/>
          <w:szCs w:val="22"/>
        </w:rPr>
        <w:t xml:space="preserve">końcowe </w:t>
      </w:r>
      <w:r w:rsidR="003856C4">
        <w:rPr>
          <w:rFonts w:ascii="Lato" w:hAnsi="Lato"/>
          <w:bCs/>
          <w:szCs w:val="22"/>
        </w:rPr>
        <w:t>przeznaczenie.</w:t>
      </w:r>
    </w:p>
    <w:p w14:paraId="1D527DEB" w14:textId="5026AC03" w:rsidR="00D539EC" w:rsidRPr="00C4545D" w:rsidRDefault="007177C6" w:rsidP="00F96EA3">
      <w:pPr>
        <w:pStyle w:val="Tekstpodstawowy2"/>
        <w:numPr>
          <w:ilvl w:val="0"/>
          <w:numId w:val="13"/>
        </w:numPr>
        <w:spacing w:before="120" w:after="120"/>
        <w:ind w:left="567" w:hanging="502"/>
        <w:jc w:val="left"/>
        <w:rPr>
          <w:rFonts w:ascii="Lato" w:hAnsi="Lato"/>
          <w:szCs w:val="22"/>
        </w:rPr>
      </w:pPr>
      <w:r w:rsidRPr="00C4545D">
        <w:rPr>
          <w:rFonts w:ascii="Lato" w:hAnsi="Lato"/>
          <w:szCs w:val="22"/>
        </w:rPr>
        <w:t>W przypadku sporządzenia wniosku za pomocą zgłoszenia celnego</w:t>
      </w:r>
      <w:r w:rsidR="00E944B7" w:rsidRPr="00C4545D">
        <w:rPr>
          <w:rFonts w:ascii="Lato" w:hAnsi="Lato"/>
          <w:szCs w:val="22"/>
        </w:rPr>
        <w:t>,</w:t>
      </w:r>
      <w:r w:rsidR="002A1229">
        <w:rPr>
          <w:rFonts w:ascii="Lato" w:hAnsi="Lato"/>
          <w:szCs w:val="22"/>
        </w:rPr>
        <w:t xml:space="preserve"> w treści zgłoszenia należy podać kod informacji dodatkowej: „00100”.</w:t>
      </w:r>
      <w:r w:rsidR="00EF21BB">
        <w:rPr>
          <w:rFonts w:ascii="Lato" w:hAnsi="Lato"/>
          <w:szCs w:val="22"/>
        </w:rPr>
        <w:t xml:space="preserve"> </w:t>
      </w:r>
      <w:r w:rsidRPr="00C4545D">
        <w:rPr>
          <w:rFonts w:ascii="Lato" w:hAnsi="Lato"/>
          <w:szCs w:val="22"/>
        </w:rPr>
        <w:t xml:space="preserve"> </w:t>
      </w:r>
      <w:r w:rsidR="002A1229">
        <w:rPr>
          <w:rFonts w:ascii="Lato" w:hAnsi="Lato"/>
          <w:szCs w:val="22"/>
        </w:rPr>
        <w:t>Następnie dane wymagane dla tej procedury (m. in. takie jak:  p</w:t>
      </w:r>
      <w:r w:rsidR="002A1229" w:rsidRPr="002A1229">
        <w:rPr>
          <w:rFonts w:ascii="Lato" w:hAnsi="Lato"/>
          <w:szCs w:val="22"/>
        </w:rPr>
        <w:t>ierwsze miejsce wykorzystania lub przetwarzania</w:t>
      </w:r>
      <w:r w:rsidR="002A1229">
        <w:rPr>
          <w:rFonts w:ascii="Lato" w:hAnsi="Lato"/>
          <w:szCs w:val="22"/>
        </w:rPr>
        <w:t>;</w:t>
      </w:r>
      <w:r w:rsidR="002A1229" w:rsidRPr="002A1229">
        <w:rPr>
          <w:rFonts w:ascii="Lato" w:hAnsi="Lato"/>
          <w:szCs w:val="22"/>
        </w:rPr>
        <w:t xml:space="preserve"> miejsce przetwarzania lub wykorzystania</w:t>
      </w:r>
      <w:r w:rsidR="002A1229">
        <w:rPr>
          <w:rFonts w:ascii="Lato" w:hAnsi="Lato"/>
          <w:szCs w:val="22"/>
        </w:rPr>
        <w:t>;</w:t>
      </w:r>
      <w:r w:rsidR="002A1229" w:rsidRPr="002A1229">
        <w:rPr>
          <w:rFonts w:ascii="Lato" w:hAnsi="Lato"/>
          <w:szCs w:val="22"/>
        </w:rPr>
        <w:t xml:space="preserve"> </w:t>
      </w:r>
      <w:r w:rsidR="002A1229">
        <w:rPr>
          <w:rFonts w:ascii="Lato" w:hAnsi="Lato"/>
          <w:szCs w:val="22"/>
        </w:rPr>
        <w:t>t</w:t>
      </w:r>
      <w:r w:rsidR="002A1229" w:rsidRPr="002A1229">
        <w:rPr>
          <w:rFonts w:ascii="Lato" w:hAnsi="Lato"/>
          <w:szCs w:val="22"/>
        </w:rPr>
        <w:t>ermin zamknięcia procedur</w:t>
      </w:r>
      <w:r w:rsidR="002A1229">
        <w:rPr>
          <w:rFonts w:ascii="Lato" w:hAnsi="Lato"/>
          <w:szCs w:val="22"/>
        </w:rPr>
        <w:t>y;</w:t>
      </w:r>
      <w:r w:rsidR="002A1229" w:rsidRPr="002A1229">
        <w:rPr>
          <w:rFonts w:ascii="Lato" w:hAnsi="Lato"/>
          <w:szCs w:val="22"/>
        </w:rPr>
        <w:t xml:space="preserve"> </w:t>
      </w:r>
      <w:r w:rsidR="002A1229">
        <w:rPr>
          <w:rFonts w:ascii="Lato" w:hAnsi="Lato"/>
          <w:szCs w:val="22"/>
        </w:rPr>
        <w:t>w</w:t>
      </w:r>
      <w:r w:rsidR="002A1229" w:rsidRPr="002A1229">
        <w:rPr>
          <w:rFonts w:ascii="Lato" w:hAnsi="Lato"/>
          <w:szCs w:val="22"/>
        </w:rPr>
        <w:t>spółczynnik produktywności</w:t>
      </w:r>
      <w:r w:rsidR="002A1229">
        <w:rPr>
          <w:rFonts w:ascii="Lato" w:hAnsi="Lato"/>
          <w:szCs w:val="22"/>
        </w:rPr>
        <w:t>;</w:t>
      </w:r>
      <w:r w:rsidR="002A1229" w:rsidRPr="002A1229">
        <w:rPr>
          <w:rFonts w:ascii="Lato" w:hAnsi="Lato"/>
          <w:szCs w:val="22"/>
        </w:rPr>
        <w:t xml:space="preserve"> </w:t>
      </w:r>
      <w:r w:rsidR="002A1229">
        <w:rPr>
          <w:rFonts w:ascii="Lato" w:hAnsi="Lato"/>
          <w:szCs w:val="22"/>
        </w:rPr>
        <w:t>i</w:t>
      </w:r>
      <w:r w:rsidR="002A1229" w:rsidRPr="002A1229">
        <w:rPr>
          <w:rFonts w:ascii="Lato" w:hAnsi="Lato"/>
          <w:szCs w:val="22"/>
        </w:rPr>
        <w:t>dentyfikacja towarów</w:t>
      </w:r>
      <w:r w:rsidR="002A1229">
        <w:rPr>
          <w:rFonts w:ascii="Lato" w:hAnsi="Lato"/>
          <w:szCs w:val="22"/>
        </w:rPr>
        <w:t>;</w:t>
      </w:r>
      <w:r w:rsidR="002A1229" w:rsidRPr="002A1229">
        <w:rPr>
          <w:rFonts w:ascii="Lato" w:hAnsi="Lato"/>
          <w:szCs w:val="22"/>
        </w:rPr>
        <w:t xml:space="preserve"> </w:t>
      </w:r>
      <w:r w:rsidR="002A1229">
        <w:rPr>
          <w:rFonts w:ascii="Lato" w:hAnsi="Lato"/>
          <w:szCs w:val="22"/>
        </w:rPr>
        <w:t>s</w:t>
      </w:r>
      <w:r w:rsidR="002A1229" w:rsidRPr="002A1229">
        <w:rPr>
          <w:rFonts w:ascii="Lato" w:hAnsi="Lato"/>
          <w:szCs w:val="22"/>
        </w:rPr>
        <w:t>zczegółowe informacje dotyczące planowanych działań</w:t>
      </w:r>
      <w:r w:rsidR="002A1229">
        <w:rPr>
          <w:rFonts w:ascii="Lato" w:hAnsi="Lato"/>
          <w:szCs w:val="22"/>
        </w:rPr>
        <w:t>;</w:t>
      </w:r>
      <w:r w:rsidR="002A1229" w:rsidRPr="002A1229">
        <w:rPr>
          <w:rFonts w:ascii="Lato" w:hAnsi="Lato"/>
          <w:szCs w:val="22"/>
        </w:rPr>
        <w:t xml:space="preserve"> </w:t>
      </w:r>
      <w:r w:rsidR="002A1229">
        <w:rPr>
          <w:rFonts w:ascii="Lato" w:hAnsi="Lato"/>
          <w:szCs w:val="22"/>
        </w:rPr>
        <w:t>d</w:t>
      </w:r>
      <w:r w:rsidR="002A1229" w:rsidRPr="002A1229">
        <w:rPr>
          <w:rFonts w:ascii="Lato" w:hAnsi="Lato"/>
          <w:szCs w:val="22"/>
        </w:rPr>
        <w:t>odatkowe informacje</w:t>
      </w:r>
      <w:r w:rsidR="002A1229">
        <w:rPr>
          <w:rFonts w:ascii="Lato" w:hAnsi="Lato"/>
          <w:szCs w:val="22"/>
        </w:rPr>
        <w:t>;</w:t>
      </w:r>
      <w:r w:rsidR="002A1229" w:rsidRPr="002A1229">
        <w:rPr>
          <w:rFonts w:ascii="Lato" w:hAnsi="Lato"/>
          <w:szCs w:val="22"/>
        </w:rPr>
        <w:t xml:space="preserve"> </w:t>
      </w:r>
      <w:r w:rsidR="002A1229">
        <w:rPr>
          <w:rFonts w:ascii="Lato" w:hAnsi="Lato"/>
          <w:szCs w:val="22"/>
        </w:rPr>
        <w:t>p</w:t>
      </w:r>
      <w:r w:rsidR="002A1229" w:rsidRPr="002A1229">
        <w:rPr>
          <w:rFonts w:ascii="Lato" w:hAnsi="Lato"/>
          <w:szCs w:val="22"/>
        </w:rPr>
        <w:t>rodukt przetworzony</w:t>
      </w:r>
      <w:r w:rsidR="002A1229">
        <w:rPr>
          <w:rFonts w:ascii="Lato" w:hAnsi="Lato"/>
          <w:szCs w:val="22"/>
        </w:rPr>
        <w:t>; o</w:t>
      </w:r>
      <w:r w:rsidR="002A1229" w:rsidRPr="002A1229">
        <w:rPr>
          <w:rFonts w:ascii="Lato" w:hAnsi="Lato"/>
          <w:szCs w:val="22"/>
        </w:rPr>
        <w:t>pis produktów przetworzonych</w:t>
      </w:r>
      <w:r w:rsidR="002A1229">
        <w:rPr>
          <w:rFonts w:ascii="Lato" w:hAnsi="Lato"/>
          <w:szCs w:val="22"/>
        </w:rPr>
        <w:t xml:space="preserve">) należy wprowadzić w elemencie „Wniosek i pozwolenie na korzystanie z procedury specjalnej”. </w:t>
      </w:r>
      <w:r w:rsidRPr="00C4545D">
        <w:rPr>
          <w:rFonts w:ascii="Lato" w:hAnsi="Lato"/>
          <w:szCs w:val="22"/>
        </w:rPr>
        <w:t xml:space="preserve">Szczegółowe </w:t>
      </w:r>
      <w:r w:rsidR="002A1229">
        <w:rPr>
          <w:rFonts w:ascii="Lato" w:hAnsi="Lato"/>
          <w:szCs w:val="22"/>
        </w:rPr>
        <w:t xml:space="preserve">informacje </w:t>
      </w:r>
      <w:r w:rsidR="00DA5F21">
        <w:rPr>
          <w:rFonts w:ascii="Lato" w:hAnsi="Lato"/>
          <w:szCs w:val="22"/>
        </w:rPr>
        <w:t xml:space="preserve">dotyczące </w:t>
      </w:r>
      <w:r w:rsidR="002A1229">
        <w:rPr>
          <w:rFonts w:ascii="Lato" w:hAnsi="Lato"/>
          <w:szCs w:val="22"/>
        </w:rPr>
        <w:t xml:space="preserve">wymaganych danych </w:t>
      </w:r>
      <w:r w:rsidRPr="00C4545D">
        <w:rPr>
          <w:rFonts w:ascii="Lato" w:hAnsi="Lato"/>
          <w:szCs w:val="22"/>
        </w:rPr>
        <w:t xml:space="preserve"> zostały szczegółowo przedstawione w „</w:t>
      </w:r>
      <w:hyperlink r:id="rId13" w:history="1">
        <w:r w:rsidRPr="00C4545D">
          <w:rPr>
            <w:rStyle w:val="Hipercze"/>
            <w:rFonts w:ascii="Lato" w:hAnsi="Lato"/>
            <w:iCs/>
            <w:szCs w:val="22"/>
          </w:rPr>
          <w:t>Instrukcji wypełniania zgłoszeń celnych</w:t>
        </w:r>
      </w:hyperlink>
      <w:r w:rsidRPr="00C4545D">
        <w:rPr>
          <w:rFonts w:ascii="Lato" w:hAnsi="Lato"/>
          <w:iCs/>
          <w:szCs w:val="22"/>
        </w:rPr>
        <w:t>”</w:t>
      </w:r>
      <w:r w:rsidRPr="00C4545D">
        <w:rPr>
          <w:rFonts w:ascii="Lato" w:hAnsi="Lato"/>
          <w:i/>
          <w:iCs/>
          <w:szCs w:val="22"/>
        </w:rPr>
        <w:t>.</w:t>
      </w:r>
    </w:p>
    <w:p w14:paraId="00B55B58" w14:textId="77777777" w:rsidR="00656694" w:rsidRPr="00C4545D" w:rsidRDefault="00967385" w:rsidP="00F96EA3">
      <w:pPr>
        <w:pStyle w:val="Tekstpodstawowy2"/>
        <w:numPr>
          <w:ilvl w:val="0"/>
          <w:numId w:val="13"/>
        </w:numPr>
        <w:spacing w:before="120" w:after="120"/>
        <w:ind w:left="567" w:hanging="502"/>
        <w:jc w:val="left"/>
        <w:rPr>
          <w:rFonts w:ascii="Lato" w:hAnsi="Lato"/>
          <w:szCs w:val="22"/>
        </w:rPr>
      </w:pPr>
      <w:r w:rsidRPr="00C4545D">
        <w:rPr>
          <w:rFonts w:ascii="Lato" w:hAnsi="Lato"/>
          <w:szCs w:val="22"/>
        </w:rPr>
        <w:t xml:space="preserve">Wniosek o udzielnie pozwolenia na podstawie zgłoszenia celnego składa się do </w:t>
      </w:r>
      <w:r w:rsidR="005765C5" w:rsidRPr="00C4545D">
        <w:rPr>
          <w:rFonts w:ascii="Lato" w:hAnsi="Lato"/>
          <w:szCs w:val="22"/>
        </w:rPr>
        <w:t xml:space="preserve">urzędu </w:t>
      </w:r>
      <w:r w:rsidRPr="00C4545D">
        <w:rPr>
          <w:rFonts w:ascii="Lato" w:hAnsi="Lato"/>
          <w:szCs w:val="22"/>
        </w:rPr>
        <w:t>celno-skarbowego (oddziału celnego)</w:t>
      </w:r>
      <w:r w:rsidR="005765C5" w:rsidRPr="00C4545D">
        <w:rPr>
          <w:rFonts w:ascii="Lato" w:hAnsi="Lato"/>
          <w:szCs w:val="22"/>
        </w:rPr>
        <w:t xml:space="preserve"> właściwego </w:t>
      </w:r>
      <w:r w:rsidR="007177C6" w:rsidRPr="00C4545D">
        <w:rPr>
          <w:rFonts w:ascii="Lato" w:hAnsi="Lato"/>
          <w:szCs w:val="22"/>
        </w:rPr>
        <w:t xml:space="preserve">do przyjęcia zgłoszenia do procedury </w:t>
      </w:r>
      <w:r w:rsidR="00885F74" w:rsidRPr="00C4545D">
        <w:rPr>
          <w:rFonts w:ascii="Lato" w:hAnsi="Lato"/>
          <w:szCs w:val="22"/>
        </w:rPr>
        <w:t>końcowego przeznaczenia</w:t>
      </w:r>
      <w:r w:rsidR="00E602C7" w:rsidRPr="00C4545D">
        <w:rPr>
          <w:rFonts w:ascii="Lato" w:hAnsi="Lato"/>
          <w:szCs w:val="22"/>
        </w:rPr>
        <w:t>.</w:t>
      </w:r>
    </w:p>
    <w:p w14:paraId="487DF092" w14:textId="77777777" w:rsidR="00E602C7" w:rsidRPr="00C4545D" w:rsidRDefault="00E602C7" w:rsidP="00F96EA3">
      <w:pPr>
        <w:pStyle w:val="Tekstpodstawowy2"/>
        <w:numPr>
          <w:ilvl w:val="0"/>
          <w:numId w:val="13"/>
        </w:numPr>
        <w:spacing w:before="120" w:after="120"/>
        <w:ind w:left="567" w:hanging="502"/>
        <w:jc w:val="left"/>
        <w:rPr>
          <w:rFonts w:ascii="Lato" w:hAnsi="Lato"/>
          <w:szCs w:val="22"/>
        </w:rPr>
      </w:pPr>
      <w:r w:rsidRPr="00C4545D">
        <w:rPr>
          <w:rFonts w:ascii="Lato" w:hAnsi="Lato"/>
          <w:szCs w:val="22"/>
        </w:rPr>
        <w:t>Zasadą jest, że wniosek o udzielenie pozwolenia powinien być złożony w formie pełnej. Wniosek w trybie skróconym jest wyjątkiem od zasady</w:t>
      </w:r>
      <w:r w:rsidR="00E944B7" w:rsidRPr="00C4545D">
        <w:rPr>
          <w:rFonts w:ascii="Lato" w:hAnsi="Lato"/>
          <w:szCs w:val="22"/>
        </w:rPr>
        <w:t>,</w:t>
      </w:r>
      <w:r w:rsidRPr="00C4545D">
        <w:rPr>
          <w:rFonts w:ascii="Lato" w:hAnsi="Lato"/>
          <w:szCs w:val="22"/>
        </w:rPr>
        <w:t xml:space="preserve"> a więc stosuje się go w sporadycznych przypadkach.</w:t>
      </w:r>
    </w:p>
    <w:p w14:paraId="2282F453" w14:textId="77777777" w:rsidR="007177C6" w:rsidRPr="00C4545D" w:rsidRDefault="006324AC" w:rsidP="00C4545D">
      <w:pPr>
        <w:pStyle w:val="Nagwek1"/>
        <w:jc w:val="left"/>
        <w:rPr>
          <w:rFonts w:ascii="Lato" w:hAnsi="Lato"/>
        </w:rPr>
      </w:pPr>
      <w:r w:rsidRPr="00C4545D">
        <w:rPr>
          <w:rFonts w:ascii="Lato" w:hAnsi="Lato"/>
        </w:rPr>
        <w:t>Warunki podmiotowe</w:t>
      </w:r>
    </w:p>
    <w:p w14:paraId="14E3C695" w14:textId="77777777" w:rsidR="002A50EA" w:rsidRPr="00C4545D" w:rsidRDefault="007177C6" w:rsidP="00F96EA3">
      <w:pPr>
        <w:pStyle w:val="Tekstpodstawowy3"/>
        <w:numPr>
          <w:ilvl w:val="0"/>
          <w:numId w:val="13"/>
        </w:numPr>
        <w:spacing w:before="120" w:after="120"/>
        <w:ind w:left="567" w:hanging="567"/>
        <w:rPr>
          <w:rFonts w:ascii="Lato" w:hAnsi="Lato"/>
          <w:b w:val="0"/>
          <w:color w:val="000000"/>
          <w:sz w:val="22"/>
          <w:szCs w:val="22"/>
        </w:rPr>
      </w:pPr>
      <w:r w:rsidRPr="00C4545D">
        <w:rPr>
          <w:rFonts w:ascii="Lato" w:hAnsi="Lato"/>
          <w:b w:val="0"/>
          <w:sz w:val="22"/>
          <w:szCs w:val="22"/>
        </w:rPr>
        <w:t xml:space="preserve">Pozwolenie </w:t>
      </w:r>
      <w:r w:rsidR="002A50EA" w:rsidRPr="00C4545D">
        <w:rPr>
          <w:rFonts w:ascii="Lato" w:hAnsi="Lato"/>
          <w:b w:val="0"/>
          <w:sz w:val="22"/>
          <w:szCs w:val="22"/>
        </w:rPr>
        <w:t xml:space="preserve">na stosowanie końcowego przeznaczenia </w:t>
      </w:r>
      <w:r w:rsidRPr="00C4545D">
        <w:rPr>
          <w:rFonts w:ascii="Lato" w:hAnsi="Lato"/>
          <w:b w:val="0"/>
          <w:sz w:val="22"/>
          <w:szCs w:val="22"/>
        </w:rPr>
        <w:t xml:space="preserve">może być udzielone osobie spełniającej warunki </w:t>
      </w:r>
      <w:r w:rsidR="003404E4" w:rsidRPr="00C4545D">
        <w:rPr>
          <w:rFonts w:ascii="Lato" w:hAnsi="Lato"/>
          <w:b w:val="0"/>
          <w:color w:val="000000"/>
          <w:sz w:val="22"/>
          <w:szCs w:val="22"/>
        </w:rPr>
        <w:t>określone w art. 211 UKC.</w:t>
      </w:r>
    </w:p>
    <w:p w14:paraId="4F612655" w14:textId="77777777" w:rsidR="00A13A03" w:rsidRPr="00C4545D" w:rsidRDefault="00A13A03" w:rsidP="00F96EA3">
      <w:pPr>
        <w:numPr>
          <w:ilvl w:val="0"/>
          <w:numId w:val="13"/>
        </w:numPr>
        <w:spacing w:before="120" w:after="120"/>
        <w:ind w:left="567" w:hanging="567"/>
        <w:rPr>
          <w:rFonts w:ascii="Lato" w:hAnsi="Lato"/>
          <w:snapToGrid w:val="0"/>
          <w:color w:val="000000"/>
          <w:szCs w:val="22"/>
          <w:lang w:eastAsia="pl-PL"/>
        </w:rPr>
      </w:pPr>
      <w:r w:rsidRPr="00C4545D">
        <w:rPr>
          <w:rFonts w:ascii="Lato" w:hAnsi="Lato"/>
          <w:snapToGrid w:val="0"/>
          <w:color w:val="000000"/>
          <w:szCs w:val="22"/>
          <w:lang w:eastAsia="pl-PL"/>
        </w:rPr>
        <w:t>W toku postępowania organ celny może zażądać dodatkowych informacji/dokumentów, które będą mu potrzebne do podjęcia decyzji. Informacje/dokumenty powinny dotyczyć przedmiotu prowadzonego postępowania i mieć wpływ na jego rozstrzygnięcie. W przypadku gdy wymagany dokument został dołączony w toku innego postępowania prowadzonego przez dany organ celny, a informacje w nim zawarte odzwierciedlają aktualny stan faktyczny i stan prawny, wnioskodawca może ograniczyć się do wskazania numeru sprawy, przy której dany dokument został dołączony.</w:t>
      </w:r>
    </w:p>
    <w:p w14:paraId="5D087739" w14:textId="3919BC1F" w:rsidR="002A50EA" w:rsidRPr="005D7518" w:rsidRDefault="0006391B" w:rsidP="00F96EA3">
      <w:pPr>
        <w:pStyle w:val="Tekstpodstawowy3"/>
        <w:numPr>
          <w:ilvl w:val="0"/>
          <w:numId w:val="13"/>
        </w:numPr>
        <w:spacing w:before="120" w:after="120"/>
        <w:ind w:left="567" w:hanging="567"/>
        <w:rPr>
          <w:rFonts w:ascii="Lato" w:hAnsi="Lato"/>
          <w:b w:val="0"/>
          <w:color w:val="000000"/>
          <w:sz w:val="22"/>
          <w:szCs w:val="22"/>
        </w:rPr>
      </w:pPr>
      <w:r w:rsidRPr="005D7518">
        <w:rPr>
          <w:rFonts w:ascii="Lato" w:hAnsi="Lato"/>
          <w:b w:val="0"/>
          <w:sz w:val="22"/>
          <w:szCs w:val="22"/>
        </w:rPr>
        <w:t>Co do zasady p</w:t>
      </w:r>
      <w:r w:rsidR="007177C6" w:rsidRPr="005D7518">
        <w:rPr>
          <w:rFonts w:ascii="Lato" w:hAnsi="Lato"/>
          <w:b w:val="0"/>
          <w:sz w:val="22"/>
          <w:szCs w:val="22"/>
        </w:rPr>
        <w:t>ozwolenie możne być udzielone osobie, która p</w:t>
      </w:r>
      <w:r w:rsidR="00987F97" w:rsidRPr="005D7518">
        <w:rPr>
          <w:rFonts w:ascii="Lato" w:hAnsi="Lato"/>
          <w:b w:val="0"/>
          <w:sz w:val="22"/>
          <w:szCs w:val="22"/>
        </w:rPr>
        <w:t xml:space="preserve">osiada siedzibę </w:t>
      </w:r>
      <w:r w:rsidR="007177C6" w:rsidRPr="005D7518">
        <w:rPr>
          <w:rFonts w:ascii="Lato" w:hAnsi="Lato"/>
          <w:b w:val="0"/>
          <w:sz w:val="22"/>
          <w:szCs w:val="22"/>
        </w:rPr>
        <w:t xml:space="preserve">na obszarze </w:t>
      </w:r>
      <w:r w:rsidR="00987F97" w:rsidRPr="005D7518">
        <w:rPr>
          <w:rFonts w:ascii="Lato" w:hAnsi="Lato"/>
          <w:b w:val="0"/>
          <w:sz w:val="22"/>
          <w:szCs w:val="22"/>
        </w:rPr>
        <w:t xml:space="preserve">celnym </w:t>
      </w:r>
      <w:r w:rsidR="007177C6" w:rsidRPr="005D7518">
        <w:rPr>
          <w:rFonts w:ascii="Lato" w:hAnsi="Lato"/>
          <w:b w:val="0"/>
          <w:sz w:val="22"/>
          <w:szCs w:val="22"/>
        </w:rPr>
        <w:t>Unii</w:t>
      </w:r>
      <w:r w:rsidR="00987F97" w:rsidRPr="005D7518">
        <w:rPr>
          <w:rFonts w:ascii="Lato" w:hAnsi="Lato"/>
          <w:b w:val="0"/>
          <w:sz w:val="22"/>
          <w:szCs w:val="22"/>
        </w:rPr>
        <w:t>.</w:t>
      </w:r>
      <w:r w:rsidR="007177C6" w:rsidRPr="005D7518">
        <w:rPr>
          <w:rFonts w:ascii="Lato" w:hAnsi="Lato"/>
          <w:b w:val="0"/>
          <w:sz w:val="22"/>
          <w:szCs w:val="22"/>
        </w:rPr>
        <w:t xml:space="preserve"> </w:t>
      </w:r>
    </w:p>
    <w:p w14:paraId="36FFA456" w14:textId="6DB0EF62" w:rsidR="00F70393" w:rsidRPr="005D7518" w:rsidRDefault="003404E4" w:rsidP="00F96EA3">
      <w:pPr>
        <w:pStyle w:val="Tekstpodstawowy3"/>
        <w:numPr>
          <w:ilvl w:val="0"/>
          <w:numId w:val="13"/>
        </w:numPr>
        <w:spacing w:before="120" w:after="120"/>
        <w:ind w:left="567" w:hanging="567"/>
        <w:rPr>
          <w:rFonts w:ascii="Lato" w:hAnsi="Lato"/>
          <w:b w:val="0"/>
          <w:color w:val="000000"/>
          <w:sz w:val="22"/>
          <w:szCs w:val="22"/>
        </w:rPr>
      </w:pPr>
      <w:r w:rsidRPr="00C4545D">
        <w:rPr>
          <w:rFonts w:ascii="Lato" w:hAnsi="Lato"/>
          <w:b w:val="0"/>
          <w:sz w:val="22"/>
          <w:szCs w:val="22"/>
        </w:rPr>
        <w:t>Na zasadzie wyjątku, w uzasadnionych przypadkach</w:t>
      </w:r>
      <w:r w:rsidR="006324AC" w:rsidRPr="00C4545D">
        <w:rPr>
          <w:rFonts w:ascii="Lato" w:hAnsi="Lato"/>
          <w:b w:val="0"/>
          <w:sz w:val="22"/>
          <w:szCs w:val="22"/>
        </w:rPr>
        <w:t>,</w:t>
      </w:r>
      <w:r w:rsidRPr="00C4545D">
        <w:rPr>
          <w:rFonts w:ascii="Lato" w:hAnsi="Lato"/>
          <w:b w:val="0"/>
          <w:sz w:val="22"/>
          <w:szCs w:val="22"/>
        </w:rPr>
        <w:t xml:space="preserve"> pozwolenia można udzielić osobie mającej siedzibę poza obszarem celnym Unii (art. 161 </w:t>
      </w:r>
      <w:r w:rsidR="00501352">
        <w:rPr>
          <w:rFonts w:ascii="Lato" w:hAnsi="Lato"/>
          <w:b w:val="0"/>
          <w:sz w:val="22"/>
          <w:szCs w:val="22"/>
        </w:rPr>
        <w:t>UKC-</w:t>
      </w:r>
      <w:r w:rsidRPr="00C4545D">
        <w:rPr>
          <w:rFonts w:ascii="Lato" w:hAnsi="Lato"/>
          <w:b w:val="0"/>
          <w:sz w:val="22"/>
          <w:szCs w:val="22"/>
        </w:rPr>
        <w:t xml:space="preserve">RD). </w:t>
      </w:r>
    </w:p>
    <w:p w14:paraId="1A023697" w14:textId="77777777" w:rsidR="00501352" w:rsidRPr="00C4545D" w:rsidRDefault="00501352" w:rsidP="00F96EA3">
      <w:pPr>
        <w:pStyle w:val="Tekstpodstawowy3"/>
        <w:numPr>
          <w:ilvl w:val="0"/>
          <w:numId w:val="13"/>
        </w:numPr>
        <w:spacing w:before="120" w:after="120"/>
        <w:ind w:left="567" w:hanging="567"/>
        <w:rPr>
          <w:rFonts w:ascii="Lato" w:hAnsi="Lato"/>
          <w:b w:val="0"/>
          <w:color w:val="000000"/>
          <w:sz w:val="22"/>
          <w:szCs w:val="22"/>
        </w:rPr>
      </w:pPr>
      <w:r w:rsidRPr="00C4545D">
        <w:rPr>
          <w:rFonts w:ascii="Lato" w:hAnsi="Lato"/>
          <w:b w:val="0"/>
          <w:sz w:val="22"/>
          <w:szCs w:val="22"/>
        </w:rPr>
        <w:t>Posiadacz pozwolenia nie musi być właścicielem towarów.</w:t>
      </w:r>
    </w:p>
    <w:p w14:paraId="08505548" w14:textId="77777777" w:rsidR="006324AC" w:rsidRPr="00C4545D" w:rsidRDefault="006324AC" w:rsidP="00C4545D">
      <w:pPr>
        <w:pStyle w:val="Nagwek1"/>
        <w:jc w:val="left"/>
        <w:rPr>
          <w:rFonts w:ascii="Lato" w:hAnsi="Lato"/>
        </w:rPr>
      </w:pPr>
      <w:r w:rsidRPr="00C4545D">
        <w:rPr>
          <w:rFonts w:ascii="Lato" w:hAnsi="Lato"/>
        </w:rPr>
        <w:t>Warunki przedmiotowe (</w:t>
      </w:r>
      <w:r w:rsidRPr="00501352">
        <w:rPr>
          <w:rFonts w:ascii="Lato" w:hAnsi="Lato"/>
        </w:rPr>
        <w:t>ewidencja</w:t>
      </w:r>
      <w:r w:rsidRPr="00C4545D">
        <w:rPr>
          <w:rFonts w:ascii="Lato" w:hAnsi="Lato"/>
        </w:rPr>
        <w:t>)</w:t>
      </w:r>
    </w:p>
    <w:p w14:paraId="0CE45D10" w14:textId="77777777" w:rsidR="006324AC" w:rsidRPr="00C4545D" w:rsidRDefault="007177C6" w:rsidP="00F96EA3">
      <w:pPr>
        <w:numPr>
          <w:ilvl w:val="0"/>
          <w:numId w:val="13"/>
        </w:numPr>
        <w:spacing w:before="120" w:after="120"/>
        <w:ind w:hanging="502"/>
        <w:rPr>
          <w:rFonts w:ascii="Lato" w:hAnsi="Lato"/>
          <w:szCs w:val="22"/>
        </w:rPr>
      </w:pPr>
      <w:r w:rsidRPr="00C4545D">
        <w:rPr>
          <w:rFonts w:ascii="Lato" w:hAnsi="Lato"/>
          <w:bCs/>
          <w:szCs w:val="22"/>
        </w:rPr>
        <w:t xml:space="preserve">Jednym z warunków udzielenia pozwolenia na stosowanie procedury końcowego przeznaczenia jest </w:t>
      </w:r>
      <w:r w:rsidRPr="00C4545D">
        <w:rPr>
          <w:rFonts w:ascii="Lato" w:hAnsi="Lato"/>
          <w:b/>
          <w:bCs/>
          <w:szCs w:val="22"/>
        </w:rPr>
        <w:t>prowadzenie ewidencji</w:t>
      </w:r>
      <w:r w:rsidRPr="00C4545D">
        <w:rPr>
          <w:rFonts w:ascii="Lato" w:hAnsi="Lato"/>
          <w:bCs/>
          <w:szCs w:val="22"/>
        </w:rPr>
        <w:t xml:space="preserve">, która umożliwia zweryfikowanie, że procedura jest prawidłowo stosowana. </w:t>
      </w:r>
    </w:p>
    <w:p w14:paraId="2FD2E13E" w14:textId="6EFF7969" w:rsidR="006F5F36" w:rsidRPr="00C4545D" w:rsidRDefault="007177C6" w:rsidP="00C4545D">
      <w:pPr>
        <w:spacing w:before="120" w:after="120"/>
        <w:ind w:left="567"/>
        <w:rPr>
          <w:rFonts w:ascii="Lato" w:hAnsi="Lato"/>
          <w:szCs w:val="22"/>
        </w:rPr>
      </w:pPr>
      <w:r w:rsidRPr="00C4545D">
        <w:rPr>
          <w:rFonts w:ascii="Lato" w:hAnsi="Lato"/>
          <w:szCs w:val="22"/>
        </w:rPr>
        <w:t>Wzór prowadzonej ewidencji oraz sposób jej prowadzenia i przechowy</w:t>
      </w:r>
      <w:r w:rsidR="006F5F36" w:rsidRPr="00C4545D">
        <w:rPr>
          <w:rFonts w:ascii="Lato" w:hAnsi="Lato"/>
          <w:szCs w:val="22"/>
        </w:rPr>
        <w:t>wania powinien być uzgodniony</w:t>
      </w:r>
      <w:r w:rsidR="00F00711">
        <w:rPr>
          <w:rFonts w:ascii="Lato" w:hAnsi="Lato"/>
          <w:szCs w:val="22"/>
        </w:rPr>
        <w:t xml:space="preserve"> </w:t>
      </w:r>
      <w:r w:rsidR="006F5F36" w:rsidRPr="00C4545D">
        <w:rPr>
          <w:rFonts w:ascii="Lato" w:hAnsi="Lato"/>
          <w:szCs w:val="22"/>
        </w:rPr>
        <w:t xml:space="preserve">z </w:t>
      </w:r>
      <w:r w:rsidRPr="00C4545D">
        <w:rPr>
          <w:rFonts w:ascii="Lato" w:hAnsi="Lato"/>
          <w:szCs w:val="22"/>
        </w:rPr>
        <w:t>naczelnikiem urzędu celn</w:t>
      </w:r>
      <w:r w:rsidR="00AE645B" w:rsidRPr="00C4545D">
        <w:rPr>
          <w:rFonts w:ascii="Lato" w:hAnsi="Lato"/>
          <w:szCs w:val="22"/>
        </w:rPr>
        <w:t>o-skarbow</w:t>
      </w:r>
      <w:r w:rsidRPr="00C4545D">
        <w:rPr>
          <w:rFonts w:ascii="Lato" w:hAnsi="Lato"/>
          <w:szCs w:val="22"/>
        </w:rPr>
        <w:t xml:space="preserve">ego właściwego do udzielenia pozwolenia. </w:t>
      </w:r>
    </w:p>
    <w:p w14:paraId="4817C45D" w14:textId="77777777" w:rsidR="006324AC" w:rsidRPr="00C4545D" w:rsidRDefault="007177C6" w:rsidP="00F96EA3">
      <w:pPr>
        <w:numPr>
          <w:ilvl w:val="0"/>
          <w:numId w:val="13"/>
        </w:numPr>
        <w:spacing w:before="120" w:after="120"/>
        <w:ind w:left="567" w:hanging="567"/>
        <w:rPr>
          <w:rFonts w:ascii="Lato" w:hAnsi="Lato"/>
          <w:szCs w:val="22"/>
        </w:rPr>
      </w:pPr>
      <w:r w:rsidRPr="00C4545D">
        <w:rPr>
          <w:rFonts w:ascii="Lato" w:hAnsi="Lato"/>
          <w:szCs w:val="22"/>
        </w:rPr>
        <w:t>Ewidencja może być prowadzona w formie pisemnej</w:t>
      </w:r>
      <w:r w:rsidR="006F5F36" w:rsidRPr="00C4545D">
        <w:rPr>
          <w:rFonts w:ascii="Lato" w:hAnsi="Lato"/>
          <w:szCs w:val="22"/>
        </w:rPr>
        <w:t xml:space="preserve"> (papierowej)</w:t>
      </w:r>
      <w:r w:rsidRPr="00C4545D">
        <w:rPr>
          <w:rFonts w:ascii="Lato" w:hAnsi="Lato"/>
          <w:szCs w:val="22"/>
        </w:rPr>
        <w:t xml:space="preserve"> lub z zastosowaniem systemu teleinformatycznego. Ewidencję może stanowić także system księgowy przedsiębiorcy pod warunkiem, że zostanie zatwierdzony przez organ celny. Uznaje się, że ewidencja AEO jest wystarczająca na potrzeby art. 214 UKC, jeśli na etapie wydawania pozwolenia dla AEO stwierdzono, że ewidencja spełnia warunki dla ewidencji na potrzeby końcowego przeznaczenia. </w:t>
      </w:r>
    </w:p>
    <w:p w14:paraId="52D51081" w14:textId="77777777" w:rsidR="006F5F36" w:rsidRPr="00C4545D" w:rsidRDefault="007177C6" w:rsidP="00F96EA3">
      <w:pPr>
        <w:numPr>
          <w:ilvl w:val="0"/>
          <w:numId w:val="13"/>
        </w:numPr>
        <w:spacing w:before="120" w:after="120"/>
        <w:ind w:left="567" w:hanging="567"/>
        <w:rPr>
          <w:rFonts w:ascii="Lato" w:hAnsi="Lato"/>
          <w:szCs w:val="22"/>
        </w:rPr>
      </w:pPr>
      <w:r w:rsidRPr="00C4545D">
        <w:rPr>
          <w:rFonts w:ascii="Lato" w:hAnsi="Lato"/>
          <w:szCs w:val="22"/>
        </w:rPr>
        <w:t>Karty ewidencji p</w:t>
      </w:r>
      <w:r w:rsidR="006F5F36" w:rsidRPr="00C4545D">
        <w:rPr>
          <w:rFonts w:ascii="Lato" w:hAnsi="Lato"/>
          <w:szCs w:val="22"/>
        </w:rPr>
        <w:t>apierowych</w:t>
      </w:r>
      <w:r w:rsidRPr="00C4545D">
        <w:rPr>
          <w:rFonts w:ascii="Lato" w:hAnsi="Lato"/>
          <w:szCs w:val="22"/>
        </w:rPr>
        <w:t xml:space="preserve"> powinny być przeszyte</w:t>
      </w:r>
      <w:r w:rsidR="00E6401B" w:rsidRPr="00C4545D">
        <w:rPr>
          <w:rFonts w:ascii="Lato" w:hAnsi="Lato"/>
          <w:szCs w:val="22"/>
        </w:rPr>
        <w:t>,</w:t>
      </w:r>
      <w:r w:rsidRPr="00C4545D">
        <w:rPr>
          <w:rFonts w:ascii="Lato" w:hAnsi="Lato"/>
          <w:szCs w:val="22"/>
        </w:rPr>
        <w:t xml:space="preserve"> a strony ponumerowane prze</w:t>
      </w:r>
      <w:r w:rsidR="004D522C" w:rsidRPr="00C4545D">
        <w:rPr>
          <w:rFonts w:ascii="Lato" w:hAnsi="Lato"/>
          <w:szCs w:val="22"/>
        </w:rPr>
        <w:t>d</w:t>
      </w:r>
      <w:r w:rsidRPr="00C4545D">
        <w:rPr>
          <w:rFonts w:ascii="Lato" w:hAnsi="Lato"/>
          <w:szCs w:val="22"/>
        </w:rPr>
        <w:t xml:space="preserve"> rozpoczęciem jej wypełniania. Organ celny opatruje przeszycie plombą, a na ostatniej stronie </w:t>
      </w:r>
      <w:r w:rsidR="006324AC" w:rsidRPr="00C4545D">
        <w:rPr>
          <w:rFonts w:ascii="Lato" w:hAnsi="Lato"/>
          <w:szCs w:val="22"/>
        </w:rPr>
        <w:t>ewidencji wpisuje liczbę stron.</w:t>
      </w:r>
    </w:p>
    <w:p w14:paraId="111A1ED0" w14:textId="1CCD5558" w:rsidR="00783B03" w:rsidRPr="005D7518" w:rsidRDefault="00F35D30" w:rsidP="005D7518">
      <w:pPr>
        <w:spacing w:before="120" w:after="120"/>
        <w:ind w:left="567"/>
        <w:rPr>
          <w:rFonts w:ascii="Lato" w:hAnsi="Lato"/>
          <w:szCs w:val="22"/>
        </w:rPr>
      </w:pPr>
      <w:r>
        <w:rPr>
          <w:rFonts w:ascii="Lato" w:hAnsi="Lato"/>
          <w:szCs w:val="22"/>
        </w:rPr>
        <w:t>W przypadku e</w:t>
      </w:r>
      <w:r w:rsidR="007177C6" w:rsidRPr="00C4545D">
        <w:rPr>
          <w:rFonts w:ascii="Lato" w:hAnsi="Lato"/>
          <w:szCs w:val="22"/>
        </w:rPr>
        <w:t>widencj</w:t>
      </w:r>
      <w:r>
        <w:rPr>
          <w:rFonts w:ascii="Lato" w:hAnsi="Lato"/>
          <w:szCs w:val="22"/>
        </w:rPr>
        <w:t>i</w:t>
      </w:r>
      <w:r w:rsidR="00783B03">
        <w:rPr>
          <w:rFonts w:ascii="Lato" w:hAnsi="Lato"/>
          <w:szCs w:val="22"/>
        </w:rPr>
        <w:t xml:space="preserve"> elektronicznej</w:t>
      </w:r>
      <w:r w:rsidR="007177C6" w:rsidRPr="00C4545D">
        <w:rPr>
          <w:rFonts w:ascii="Lato" w:hAnsi="Lato"/>
          <w:szCs w:val="22"/>
        </w:rPr>
        <w:t xml:space="preserve"> prowadzon</w:t>
      </w:r>
      <w:r>
        <w:rPr>
          <w:rFonts w:ascii="Lato" w:hAnsi="Lato"/>
          <w:szCs w:val="22"/>
        </w:rPr>
        <w:t>ej</w:t>
      </w:r>
      <w:r w:rsidR="007177C6" w:rsidRPr="00C4545D">
        <w:rPr>
          <w:rFonts w:ascii="Lato" w:hAnsi="Lato"/>
          <w:szCs w:val="22"/>
        </w:rPr>
        <w:t xml:space="preserve"> z zastosowaniem </w:t>
      </w:r>
      <w:r w:rsidR="00783B03">
        <w:rPr>
          <w:rFonts w:ascii="Lato" w:hAnsi="Lato"/>
          <w:szCs w:val="22"/>
        </w:rPr>
        <w:t xml:space="preserve">programów </w:t>
      </w:r>
      <w:r w:rsidR="007177C6" w:rsidRPr="00C4545D">
        <w:rPr>
          <w:rFonts w:ascii="Lato" w:hAnsi="Lato"/>
          <w:szCs w:val="22"/>
        </w:rPr>
        <w:t xml:space="preserve"> informatyczn</w:t>
      </w:r>
      <w:r w:rsidR="00783B03">
        <w:rPr>
          <w:rFonts w:ascii="Lato" w:hAnsi="Lato"/>
          <w:szCs w:val="22"/>
        </w:rPr>
        <w:t xml:space="preserve">ych, wnioskodawca przekazuje do właściwego </w:t>
      </w:r>
      <w:r w:rsidR="00501352">
        <w:rPr>
          <w:rFonts w:ascii="Lato" w:hAnsi="Lato"/>
          <w:szCs w:val="22"/>
        </w:rPr>
        <w:t>naczelnika urzędu celno-skarbowego</w:t>
      </w:r>
      <w:r w:rsidR="00783B03">
        <w:rPr>
          <w:rFonts w:ascii="Lato" w:hAnsi="Lato"/>
          <w:szCs w:val="22"/>
        </w:rPr>
        <w:t>:</w:t>
      </w:r>
    </w:p>
    <w:p w14:paraId="321CD1C7" w14:textId="18F5BABE" w:rsidR="00783B03" w:rsidRPr="00F00711" w:rsidRDefault="00783B03" w:rsidP="005D7518">
      <w:pPr>
        <w:numPr>
          <w:ilvl w:val="0"/>
          <w:numId w:val="26"/>
        </w:numPr>
        <w:autoSpaceDE w:val="0"/>
        <w:autoSpaceDN w:val="0"/>
        <w:adjustRightInd w:val="0"/>
        <w:ind w:left="1134" w:hanging="567"/>
        <w:rPr>
          <w:rFonts w:ascii="Lato" w:hAnsi="Lato" w:cs="Arial"/>
          <w:color w:val="000000"/>
          <w:szCs w:val="22"/>
          <w:lang w:eastAsia="pl-PL"/>
        </w:rPr>
      </w:pPr>
      <w:r w:rsidRPr="00F00711">
        <w:rPr>
          <w:rFonts w:ascii="Lato" w:hAnsi="Lato" w:cs="Arial"/>
          <w:color w:val="000000"/>
          <w:szCs w:val="22"/>
          <w:lang w:eastAsia="pl-PL"/>
        </w:rPr>
        <w:t xml:space="preserve">kopię umowy licencyjnej dotyczącej stosowanego systemu elektronicznego zawierającą podpisy dwóch Stron umowy albo certyfikatu autentyczności oprogramowania wystawionego przez licencjodawcę albo oświadczenia producenta programu komputerowego, że osobie wykorzystującej to oprogramowanie do celów prowadzenia ewidencji przysługuje uprawnienie/prawo do korzystania z oprogramowania tego producenta; </w:t>
      </w:r>
    </w:p>
    <w:p w14:paraId="7C49939B" w14:textId="77777777" w:rsidR="00783B03" w:rsidRPr="00F00711" w:rsidRDefault="00783B03" w:rsidP="00783B03">
      <w:pPr>
        <w:autoSpaceDE w:val="0"/>
        <w:autoSpaceDN w:val="0"/>
        <w:adjustRightInd w:val="0"/>
        <w:rPr>
          <w:rFonts w:ascii="Lato" w:hAnsi="Lato" w:cs="Arial"/>
          <w:color w:val="000000"/>
          <w:szCs w:val="22"/>
          <w:lang w:eastAsia="pl-PL"/>
        </w:rPr>
      </w:pPr>
    </w:p>
    <w:p w14:paraId="2DB08DA8" w14:textId="2CEFB8E0" w:rsidR="00783B03" w:rsidRPr="00F00711" w:rsidRDefault="00783B03" w:rsidP="005D7518">
      <w:pPr>
        <w:numPr>
          <w:ilvl w:val="0"/>
          <w:numId w:val="26"/>
        </w:numPr>
        <w:autoSpaceDE w:val="0"/>
        <w:autoSpaceDN w:val="0"/>
        <w:adjustRightInd w:val="0"/>
        <w:ind w:left="1134" w:hanging="567"/>
        <w:rPr>
          <w:rFonts w:ascii="Lato" w:hAnsi="Lato" w:cs="Arial"/>
          <w:color w:val="000000"/>
          <w:szCs w:val="22"/>
          <w:lang w:eastAsia="pl-PL"/>
        </w:rPr>
      </w:pPr>
      <w:r w:rsidRPr="00F00711">
        <w:rPr>
          <w:rFonts w:ascii="Lato" w:hAnsi="Lato" w:cs="Arial"/>
          <w:color w:val="000000"/>
          <w:szCs w:val="22"/>
          <w:lang w:eastAsia="pl-PL"/>
        </w:rPr>
        <w:t xml:space="preserve">oświadczenia złożonego przez twórcę programu komputerowego, że system wykorzystywany do prowadzenia ewidencji zawiera wymagane dane oraz że program ten umożliwi w szczególności: </w:t>
      </w:r>
    </w:p>
    <w:p w14:paraId="609BD117" w14:textId="77777777" w:rsidR="00783B03" w:rsidRPr="00783B03" w:rsidRDefault="00783B03" w:rsidP="00783B03">
      <w:pPr>
        <w:rPr>
          <w:rFonts w:ascii="Lato" w:hAnsi="Lato"/>
          <w:sz w:val="16"/>
          <w:szCs w:val="18"/>
        </w:rPr>
      </w:pPr>
    </w:p>
    <w:p w14:paraId="05FF0BF3" w14:textId="0C4FE50B" w:rsidR="007177C6" w:rsidRPr="00C4545D" w:rsidRDefault="007177C6" w:rsidP="005D7518">
      <w:pPr>
        <w:numPr>
          <w:ilvl w:val="0"/>
          <w:numId w:val="2"/>
        </w:numPr>
        <w:tabs>
          <w:tab w:val="clear" w:pos="720"/>
          <w:tab w:val="num" w:pos="0"/>
          <w:tab w:val="left" w:pos="1701"/>
        </w:tabs>
        <w:autoSpaceDE w:val="0"/>
        <w:autoSpaceDN w:val="0"/>
        <w:adjustRightInd w:val="0"/>
        <w:spacing w:before="120" w:after="120"/>
        <w:ind w:left="1701" w:hanging="567"/>
        <w:rPr>
          <w:rFonts w:ascii="Lato" w:hAnsi="Lato"/>
          <w:szCs w:val="22"/>
        </w:rPr>
      </w:pPr>
      <w:r w:rsidRPr="00C4545D">
        <w:rPr>
          <w:rFonts w:ascii="Lato" w:hAnsi="Lato"/>
          <w:szCs w:val="22"/>
        </w:rPr>
        <w:t>wgląd w treść przetwarzanych danych i zapewnia ich ochronę przed zniekształceniem lub utratą;</w:t>
      </w:r>
    </w:p>
    <w:p w14:paraId="247A22D3" w14:textId="701282D4" w:rsidR="007177C6" w:rsidRPr="00C4545D" w:rsidRDefault="007177C6" w:rsidP="005D7518">
      <w:pPr>
        <w:numPr>
          <w:ilvl w:val="0"/>
          <w:numId w:val="2"/>
        </w:numPr>
        <w:tabs>
          <w:tab w:val="clear" w:pos="720"/>
          <w:tab w:val="num" w:pos="0"/>
          <w:tab w:val="left" w:pos="1701"/>
        </w:tabs>
        <w:autoSpaceDE w:val="0"/>
        <w:autoSpaceDN w:val="0"/>
        <w:adjustRightInd w:val="0"/>
        <w:spacing w:before="120" w:after="120"/>
        <w:ind w:left="1701" w:hanging="567"/>
        <w:rPr>
          <w:rFonts w:ascii="Lato" w:hAnsi="Lato"/>
          <w:szCs w:val="22"/>
        </w:rPr>
      </w:pPr>
      <w:r w:rsidRPr="00C4545D">
        <w:rPr>
          <w:rFonts w:ascii="Lato" w:hAnsi="Lato"/>
          <w:szCs w:val="22"/>
        </w:rPr>
        <w:t xml:space="preserve">dokonywanie </w:t>
      </w:r>
      <w:r w:rsidR="00783B03">
        <w:rPr>
          <w:rFonts w:ascii="Lato" w:hAnsi="Lato"/>
          <w:szCs w:val="22"/>
        </w:rPr>
        <w:t xml:space="preserve">ewentualnej </w:t>
      </w:r>
      <w:r w:rsidRPr="00C4545D">
        <w:rPr>
          <w:rFonts w:ascii="Lato" w:hAnsi="Lato"/>
          <w:szCs w:val="22"/>
        </w:rPr>
        <w:t>korekty danych, z zachowaniem historii wpisów oraz informacji o dacie dokonania korekty</w:t>
      </w:r>
      <w:r w:rsidR="00783B03">
        <w:rPr>
          <w:rFonts w:ascii="Lato" w:hAnsi="Lato"/>
          <w:szCs w:val="22"/>
        </w:rPr>
        <w:t xml:space="preserve"> oraz danych osoby, która taką korektę dokonała</w:t>
      </w:r>
      <w:r w:rsidRPr="00C4545D">
        <w:rPr>
          <w:rFonts w:ascii="Lato" w:hAnsi="Lato"/>
          <w:szCs w:val="22"/>
        </w:rPr>
        <w:t>;</w:t>
      </w:r>
    </w:p>
    <w:p w14:paraId="7C96BF4E" w14:textId="41D76A08" w:rsidR="007177C6" w:rsidRPr="00C4545D" w:rsidRDefault="00783B03" w:rsidP="005D7518">
      <w:pPr>
        <w:numPr>
          <w:ilvl w:val="0"/>
          <w:numId w:val="2"/>
        </w:numPr>
        <w:tabs>
          <w:tab w:val="clear" w:pos="720"/>
          <w:tab w:val="num" w:pos="0"/>
          <w:tab w:val="left" w:pos="1701"/>
        </w:tabs>
        <w:autoSpaceDE w:val="0"/>
        <w:autoSpaceDN w:val="0"/>
        <w:adjustRightInd w:val="0"/>
        <w:spacing w:before="120" w:after="120"/>
        <w:ind w:left="1701" w:hanging="567"/>
        <w:rPr>
          <w:rFonts w:ascii="Lato" w:hAnsi="Lato"/>
          <w:szCs w:val="22"/>
        </w:rPr>
      </w:pPr>
      <w:r>
        <w:rPr>
          <w:rFonts w:ascii="Lato" w:hAnsi="Lato"/>
          <w:szCs w:val="22"/>
        </w:rPr>
        <w:t xml:space="preserve">zabezpieczenie </w:t>
      </w:r>
      <w:r w:rsidR="007177C6" w:rsidRPr="00C4545D">
        <w:rPr>
          <w:rFonts w:ascii="Lato" w:hAnsi="Lato"/>
          <w:szCs w:val="22"/>
        </w:rPr>
        <w:t>wpisów</w:t>
      </w:r>
      <w:r>
        <w:rPr>
          <w:rFonts w:ascii="Lato" w:hAnsi="Lato"/>
          <w:szCs w:val="22"/>
        </w:rPr>
        <w:t xml:space="preserve"> przed usunięciem</w:t>
      </w:r>
      <w:r w:rsidR="007177C6" w:rsidRPr="00C4545D">
        <w:rPr>
          <w:rFonts w:ascii="Lato" w:hAnsi="Lato"/>
          <w:szCs w:val="22"/>
        </w:rPr>
        <w:t>;</w:t>
      </w:r>
    </w:p>
    <w:p w14:paraId="3E361E8E" w14:textId="54B83AD8" w:rsidR="007177C6" w:rsidRPr="00C4545D" w:rsidRDefault="00783B03" w:rsidP="005D7518">
      <w:pPr>
        <w:numPr>
          <w:ilvl w:val="0"/>
          <w:numId w:val="2"/>
        </w:numPr>
        <w:tabs>
          <w:tab w:val="clear" w:pos="720"/>
          <w:tab w:val="num" w:pos="0"/>
          <w:tab w:val="left" w:pos="1701"/>
        </w:tabs>
        <w:autoSpaceDE w:val="0"/>
        <w:autoSpaceDN w:val="0"/>
        <w:adjustRightInd w:val="0"/>
        <w:spacing w:before="120" w:after="120"/>
        <w:ind w:left="1701" w:hanging="567"/>
        <w:rPr>
          <w:rFonts w:ascii="Lato" w:hAnsi="Lato"/>
          <w:szCs w:val="22"/>
        </w:rPr>
      </w:pPr>
      <w:r>
        <w:rPr>
          <w:rFonts w:ascii="Lato" w:hAnsi="Lato"/>
          <w:szCs w:val="22"/>
        </w:rPr>
        <w:t>wygenerowanie raportu według kryteriów określonych przez organ celny, poprzez wydruk lub zrzut danych do pliku, dla żądanego zakresu danych</w:t>
      </w:r>
      <w:r w:rsidR="007177C6" w:rsidRPr="00C4545D">
        <w:rPr>
          <w:rFonts w:ascii="Lato" w:hAnsi="Lato"/>
          <w:szCs w:val="22"/>
        </w:rPr>
        <w:t>;</w:t>
      </w:r>
    </w:p>
    <w:p w14:paraId="70762C1D" w14:textId="7B7D22A2" w:rsidR="00783B03" w:rsidRPr="00501352" w:rsidRDefault="00783B03" w:rsidP="005D7518">
      <w:pPr>
        <w:numPr>
          <w:ilvl w:val="0"/>
          <w:numId w:val="2"/>
        </w:numPr>
        <w:tabs>
          <w:tab w:val="clear" w:pos="720"/>
          <w:tab w:val="num" w:pos="0"/>
          <w:tab w:val="left" w:pos="1701"/>
        </w:tabs>
        <w:autoSpaceDE w:val="0"/>
        <w:autoSpaceDN w:val="0"/>
        <w:adjustRightInd w:val="0"/>
        <w:spacing w:before="120" w:after="120"/>
        <w:ind w:left="1701" w:hanging="567"/>
        <w:rPr>
          <w:rFonts w:ascii="Lato" w:hAnsi="Lato"/>
          <w:szCs w:val="22"/>
        </w:rPr>
      </w:pPr>
      <w:r>
        <w:rPr>
          <w:rFonts w:ascii="Lato" w:hAnsi="Lato"/>
          <w:szCs w:val="22"/>
        </w:rPr>
        <w:t>przechowywanie danych w sposób chroniący je przed zatarciem lub zniekształceniem</w:t>
      </w:r>
      <w:r w:rsidR="00501352">
        <w:rPr>
          <w:rFonts w:ascii="Lato" w:hAnsi="Lato"/>
          <w:szCs w:val="22"/>
        </w:rPr>
        <w:t>.</w:t>
      </w:r>
      <w:r>
        <w:rPr>
          <w:rFonts w:ascii="Lato" w:hAnsi="Lato"/>
          <w:szCs w:val="22"/>
        </w:rPr>
        <w:t xml:space="preserve"> </w:t>
      </w:r>
    </w:p>
    <w:p w14:paraId="209C4EE3" w14:textId="226B0A2E" w:rsidR="007177C6" w:rsidRPr="00C4545D" w:rsidRDefault="007177C6" w:rsidP="00F96EA3">
      <w:pPr>
        <w:pStyle w:val="Tekstpodstawowy2"/>
        <w:numPr>
          <w:ilvl w:val="0"/>
          <w:numId w:val="13"/>
        </w:numPr>
        <w:spacing w:before="120" w:after="120"/>
        <w:ind w:left="567" w:hanging="567"/>
        <w:jc w:val="left"/>
        <w:rPr>
          <w:rFonts w:ascii="Lato" w:hAnsi="Lato"/>
          <w:szCs w:val="22"/>
        </w:rPr>
      </w:pPr>
      <w:r w:rsidRPr="00C4545D">
        <w:rPr>
          <w:rFonts w:ascii="Lato" w:hAnsi="Lato"/>
          <w:szCs w:val="22"/>
        </w:rPr>
        <w:t xml:space="preserve">Ewidencja powinna zawierać informacje zgodne z art. 178 </w:t>
      </w:r>
      <w:r w:rsidR="00501352">
        <w:rPr>
          <w:rFonts w:ascii="Lato" w:hAnsi="Lato"/>
          <w:szCs w:val="22"/>
        </w:rPr>
        <w:t>UKC-</w:t>
      </w:r>
      <w:r w:rsidRPr="00C4545D">
        <w:rPr>
          <w:rFonts w:ascii="Lato" w:hAnsi="Lato"/>
          <w:szCs w:val="22"/>
        </w:rPr>
        <w:t>RD. Towary należy wpisywać do ewidencji niezwłocznie po ich objęciu procedurą w ramach danego pozwolenia.</w:t>
      </w:r>
    </w:p>
    <w:p w14:paraId="278B1403" w14:textId="77777777" w:rsidR="00A17110" w:rsidRPr="00C4545D" w:rsidRDefault="00A17110" w:rsidP="00C4545D">
      <w:pPr>
        <w:pStyle w:val="Nagwek1"/>
        <w:jc w:val="left"/>
        <w:rPr>
          <w:rFonts w:ascii="Lato" w:hAnsi="Lato"/>
        </w:rPr>
      </w:pPr>
      <w:bookmarkStart w:id="16" w:name="_Toc302717063"/>
      <w:bookmarkStart w:id="17" w:name="_Toc459797906"/>
      <w:bookmarkStart w:id="18" w:name="_Toc461616106"/>
      <w:bookmarkStart w:id="19" w:name="_Toc302717062"/>
      <w:bookmarkStart w:id="20" w:name="_Toc459797905"/>
      <w:bookmarkStart w:id="21" w:name="_Toc461616105"/>
      <w:r w:rsidRPr="00C4545D">
        <w:rPr>
          <w:rFonts w:ascii="Lato" w:hAnsi="Lato"/>
        </w:rPr>
        <w:t xml:space="preserve">Elementy pozwolenia i </w:t>
      </w:r>
      <w:bookmarkEnd w:id="16"/>
      <w:bookmarkEnd w:id="17"/>
      <w:bookmarkEnd w:id="18"/>
      <w:r w:rsidRPr="00C4545D">
        <w:rPr>
          <w:rFonts w:ascii="Lato" w:hAnsi="Lato"/>
        </w:rPr>
        <w:t>sposób realizacji procedury</w:t>
      </w:r>
    </w:p>
    <w:p w14:paraId="1D8B7DC0" w14:textId="77777777" w:rsidR="00A17110" w:rsidRPr="00C4545D" w:rsidRDefault="00A17110" w:rsidP="00F96EA3">
      <w:pPr>
        <w:numPr>
          <w:ilvl w:val="0"/>
          <w:numId w:val="13"/>
        </w:numPr>
        <w:autoSpaceDE w:val="0"/>
        <w:autoSpaceDN w:val="0"/>
        <w:adjustRightInd w:val="0"/>
        <w:spacing w:before="120" w:after="120"/>
        <w:ind w:hanging="502"/>
        <w:rPr>
          <w:rFonts w:ascii="Lato" w:hAnsi="Lato"/>
          <w:szCs w:val="22"/>
          <w:lang w:eastAsia="pl-PL"/>
        </w:rPr>
      </w:pPr>
      <w:r w:rsidRPr="00C4545D">
        <w:rPr>
          <w:rFonts w:ascii="Lato" w:hAnsi="Lato"/>
          <w:szCs w:val="22"/>
          <w:lang w:eastAsia="pl-PL"/>
        </w:rPr>
        <w:t xml:space="preserve">Maksymalny okres ważności pozwolenia na końcowe przeznaczenie wynosi 5 lat. </w:t>
      </w:r>
    </w:p>
    <w:p w14:paraId="0B63ED3E" w14:textId="77777777" w:rsidR="00A17110" w:rsidRPr="00C4545D" w:rsidRDefault="00A17110" w:rsidP="00F96EA3">
      <w:pPr>
        <w:numPr>
          <w:ilvl w:val="0"/>
          <w:numId w:val="13"/>
        </w:numPr>
        <w:autoSpaceDE w:val="0"/>
        <w:autoSpaceDN w:val="0"/>
        <w:adjustRightInd w:val="0"/>
        <w:spacing w:before="120" w:after="120"/>
        <w:ind w:hanging="502"/>
        <w:rPr>
          <w:rFonts w:ascii="Lato" w:hAnsi="Lato"/>
          <w:szCs w:val="22"/>
          <w:lang w:eastAsia="pl-PL"/>
        </w:rPr>
      </w:pPr>
      <w:r w:rsidRPr="00C4545D">
        <w:rPr>
          <w:rFonts w:ascii="Lato" w:eastAsia="Calibri" w:hAnsi="Lato"/>
        </w:rPr>
        <w:t>Powyższa zasada nie dotyczy wniosku o udzielenie pozwolenia sporządzonego na podstawie zgłoszenia celnego, gdyż przyjęcie tego zgłoszenia przez organ celny i udzielenie pozwolenia poprzez zwolnienie towarów do wnioskowanej procedury ma charakter jednorazowy, a pozwoleniem objęty jest wyłącznie towar określony w tym zgłoszeniu celnym.</w:t>
      </w:r>
    </w:p>
    <w:p w14:paraId="139129BC" w14:textId="686F3A4D" w:rsidR="00A17110" w:rsidRPr="00C4545D" w:rsidRDefault="00A17110" w:rsidP="00F96EA3">
      <w:pPr>
        <w:numPr>
          <w:ilvl w:val="0"/>
          <w:numId w:val="13"/>
        </w:numPr>
        <w:autoSpaceDE w:val="0"/>
        <w:autoSpaceDN w:val="0"/>
        <w:adjustRightInd w:val="0"/>
        <w:spacing w:before="120" w:after="120"/>
        <w:ind w:hanging="502"/>
        <w:rPr>
          <w:rFonts w:ascii="Lato" w:hAnsi="Lato"/>
          <w:szCs w:val="22"/>
          <w:lang w:eastAsia="pl-PL"/>
        </w:rPr>
      </w:pPr>
      <w:r w:rsidRPr="00C4545D">
        <w:rPr>
          <w:rFonts w:ascii="Lato" w:eastAsia="Calibri" w:hAnsi="Lato"/>
        </w:rPr>
        <w:t xml:space="preserve">Okres ważności pozwolenia liczony jest od daty wskazanej w pozwoleniu </w:t>
      </w:r>
      <w:r w:rsidR="007607E6">
        <w:rPr>
          <w:rFonts w:ascii="Lato" w:eastAsia="Calibri" w:hAnsi="Lato"/>
        </w:rPr>
        <w:t>w polu</w:t>
      </w:r>
      <w:r w:rsidRPr="00C4545D">
        <w:rPr>
          <w:rFonts w:ascii="Lato" w:eastAsia="Calibri" w:hAnsi="Lato"/>
        </w:rPr>
        <w:t xml:space="preserve"> </w:t>
      </w:r>
      <w:r w:rsidR="007607E6" w:rsidRPr="007607E6">
        <w:rPr>
          <w:rFonts w:ascii="Lato" w:eastAsia="Calibri" w:hAnsi="Lato"/>
        </w:rPr>
        <w:t>„</w:t>
      </w:r>
      <w:r w:rsidRPr="005D7518">
        <w:rPr>
          <w:rFonts w:ascii="Lato" w:hAnsi="Lato"/>
          <w:szCs w:val="22"/>
        </w:rPr>
        <w:t xml:space="preserve">Data rozpoczęcia ważności </w:t>
      </w:r>
      <w:r w:rsidR="007607E6">
        <w:rPr>
          <w:rFonts w:ascii="Lato" w:hAnsi="Lato"/>
          <w:szCs w:val="22"/>
        </w:rPr>
        <w:t>pozwolenia</w:t>
      </w:r>
      <w:r w:rsidR="007607E6" w:rsidRPr="005D7518">
        <w:rPr>
          <w:rFonts w:ascii="Lato" w:hAnsi="Lato"/>
          <w:szCs w:val="22"/>
        </w:rPr>
        <w:t>”</w:t>
      </w:r>
      <w:r w:rsidRPr="007607E6">
        <w:rPr>
          <w:rFonts w:ascii="Lato" w:hAnsi="Lato"/>
          <w:szCs w:val="22"/>
        </w:rPr>
        <w:t>.</w:t>
      </w:r>
      <w:r w:rsidRPr="00C4545D">
        <w:rPr>
          <w:rFonts w:ascii="Lato" w:hAnsi="Lato"/>
          <w:szCs w:val="22"/>
        </w:rPr>
        <w:t xml:space="preserve"> Towary można objąć procedurą końcowego przeznaczenia tylko w okresie ważności pozwolenia. Okres ważności kończy się w dniu wskazanym w pozwoleniu </w:t>
      </w:r>
      <w:r w:rsidR="007607E6">
        <w:rPr>
          <w:rFonts w:ascii="Lato" w:hAnsi="Lato"/>
          <w:szCs w:val="22"/>
        </w:rPr>
        <w:t>w polu</w:t>
      </w:r>
      <w:r w:rsidRPr="00C4545D">
        <w:rPr>
          <w:rFonts w:ascii="Lato" w:hAnsi="Lato"/>
          <w:szCs w:val="22"/>
        </w:rPr>
        <w:t xml:space="preserve"> </w:t>
      </w:r>
      <w:r w:rsidR="007607E6">
        <w:rPr>
          <w:rFonts w:ascii="Lato" w:hAnsi="Lato"/>
          <w:szCs w:val="22"/>
        </w:rPr>
        <w:t>„</w:t>
      </w:r>
      <w:r w:rsidRPr="005D7518">
        <w:rPr>
          <w:rFonts w:ascii="Lato" w:hAnsi="Lato"/>
          <w:iCs/>
          <w:szCs w:val="22"/>
        </w:rPr>
        <w:t>Data upływu ważności pozwolenia</w:t>
      </w:r>
      <w:r w:rsidR="007607E6" w:rsidRPr="005D7518">
        <w:rPr>
          <w:rFonts w:ascii="Lato" w:hAnsi="Lato"/>
          <w:iCs/>
          <w:szCs w:val="22"/>
        </w:rPr>
        <w:t>”</w:t>
      </w:r>
      <w:r w:rsidRPr="005D7518">
        <w:rPr>
          <w:rFonts w:ascii="Lato" w:hAnsi="Lato"/>
          <w:iCs/>
          <w:szCs w:val="22"/>
        </w:rPr>
        <w:t>.</w:t>
      </w:r>
    </w:p>
    <w:p w14:paraId="42FACC57" w14:textId="72390BD4" w:rsidR="00A17110" w:rsidRPr="00C4545D" w:rsidRDefault="00A17110" w:rsidP="00F96EA3">
      <w:pPr>
        <w:numPr>
          <w:ilvl w:val="0"/>
          <w:numId w:val="13"/>
        </w:numPr>
        <w:autoSpaceDE w:val="0"/>
        <w:autoSpaceDN w:val="0"/>
        <w:adjustRightInd w:val="0"/>
        <w:spacing w:before="120" w:after="120"/>
        <w:ind w:hanging="502"/>
        <w:rPr>
          <w:rFonts w:ascii="Lato" w:hAnsi="Lato"/>
          <w:szCs w:val="22"/>
          <w:lang w:eastAsia="pl-PL"/>
        </w:rPr>
      </w:pPr>
      <w:r w:rsidRPr="00C4545D">
        <w:rPr>
          <w:rFonts w:ascii="Lato" w:hAnsi="Lato"/>
          <w:szCs w:val="22"/>
        </w:rPr>
        <w:t>Jednym z elementów pozwolenia jest także termin zamknięcia procedury. W przypadku procedury końcowego przeznaczenia jest to termin, w którym powinno nastąpić nadanie towarom końcowego przeznaczenia. Termin zamknięcia procedury określany jest w miesiącach.</w:t>
      </w:r>
    </w:p>
    <w:p w14:paraId="2A7E048B" w14:textId="600D695F" w:rsidR="007177C6" w:rsidRPr="00C4545D" w:rsidRDefault="00E912D5" w:rsidP="00C4545D">
      <w:pPr>
        <w:pStyle w:val="Nagwek1"/>
        <w:jc w:val="left"/>
        <w:rPr>
          <w:rFonts w:ascii="Lato" w:hAnsi="Lato"/>
        </w:rPr>
      </w:pPr>
      <w:r w:rsidRPr="00C4545D">
        <w:rPr>
          <w:rFonts w:ascii="Lato" w:hAnsi="Lato"/>
        </w:rPr>
        <w:t>Dług celny i z</w:t>
      </w:r>
      <w:r w:rsidR="007177C6" w:rsidRPr="00C4545D">
        <w:rPr>
          <w:rFonts w:ascii="Lato" w:hAnsi="Lato"/>
        </w:rPr>
        <w:t>abezpieczenie</w:t>
      </w:r>
      <w:bookmarkEnd w:id="19"/>
      <w:bookmarkEnd w:id="20"/>
      <w:r w:rsidRPr="00C4545D">
        <w:rPr>
          <w:rFonts w:ascii="Lato" w:hAnsi="Lato"/>
        </w:rPr>
        <w:t xml:space="preserve"> potencjalnego długu</w:t>
      </w:r>
      <w:bookmarkEnd w:id="21"/>
    </w:p>
    <w:p w14:paraId="3F81014B" w14:textId="77777777" w:rsidR="00E912D5" w:rsidRPr="00C4545D" w:rsidRDefault="00E912D5" w:rsidP="00F96EA3">
      <w:pPr>
        <w:pStyle w:val="Tekstpodstawowy2"/>
        <w:numPr>
          <w:ilvl w:val="0"/>
          <w:numId w:val="13"/>
        </w:numPr>
        <w:spacing w:before="120" w:after="120"/>
        <w:ind w:hanging="502"/>
        <w:jc w:val="left"/>
        <w:rPr>
          <w:rFonts w:ascii="Lato" w:hAnsi="Lato"/>
          <w:szCs w:val="22"/>
        </w:rPr>
      </w:pPr>
      <w:r w:rsidRPr="00C4545D">
        <w:rPr>
          <w:rFonts w:ascii="Lato" w:hAnsi="Lato"/>
          <w:szCs w:val="22"/>
        </w:rPr>
        <w:t>W chwili objęcia towarów procedurą końcowego przeznaczenia powstają dwa rodzaje długu celnego:</w:t>
      </w:r>
    </w:p>
    <w:p w14:paraId="531B67F2" w14:textId="77777777" w:rsidR="006F5F36" w:rsidRPr="00C4545D" w:rsidRDefault="00E912D5" w:rsidP="00C4545D">
      <w:pPr>
        <w:pStyle w:val="Tekstpodstawowy2"/>
        <w:numPr>
          <w:ilvl w:val="0"/>
          <w:numId w:val="10"/>
        </w:numPr>
        <w:tabs>
          <w:tab w:val="left" w:pos="1134"/>
        </w:tabs>
        <w:spacing w:before="120" w:after="120"/>
        <w:ind w:left="1134" w:hanging="567"/>
        <w:jc w:val="left"/>
        <w:rPr>
          <w:rFonts w:ascii="Lato" w:hAnsi="Lato"/>
          <w:szCs w:val="22"/>
        </w:rPr>
      </w:pPr>
      <w:r w:rsidRPr="00C4545D">
        <w:rPr>
          <w:rFonts w:ascii="Lato" w:hAnsi="Lato"/>
          <w:szCs w:val="22"/>
        </w:rPr>
        <w:t xml:space="preserve">dług celny na podstawie art. 77 ust. 1 lit. a UKC </w:t>
      </w:r>
      <w:r w:rsidR="006F5F36" w:rsidRPr="00C4545D">
        <w:rPr>
          <w:rFonts w:ascii="Lato" w:hAnsi="Lato"/>
          <w:szCs w:val="22"/>
        </w:rPr>
        <w:t>(w chwili przyjęcia zgłoszenia celnego do procedury końcowego przeznaczenia powstaje dług celny, jak dla dopuszczenia do obrotu, na podstawie art. 77 ust. 1 lit. a UKC na mocy prz</w:t>
      </w:r>
      <w:r w:rsidR="00DF1673" w:rsidRPr="00C4545D">
        <w:rPr>
          <w:rFonts w:ascii="Lato" w:hAnsi="Lato"/>
          <w:szCs w:val="22"/>
        </w:rPr>
        <w:t xml:space="preserve">episów o końcowym przeznaczeniu) </w:t>
      </w:r>
      <w:r w:rsidRPr="00C4545D">
        <w:rPr>
          <w:rFonts w:ascii="Lato" w:hAnsi="Lato"/>
          <w:szCs w:val="22"/>
        </w:rPr>
        <w:t xml:space="preserve">oraz </w:t>
      </w:r>
    </w:p>
    <w:p w14:paraId="5D6F969D" w14:textId="438999CB" w:rsidR="00594C37" w:rsidRPr="00C4545D" w:rsidRDefault="00E912D5" w:rsidP="00C4545D">
      <w:pPr>
        <w:pStyle w:val="Tekstpodstawowy2"/>
        <w:numPr>
          <w:ilvl w:val="0"/>
          <w:numId w:val="10"/>
        </w:numPr>
        <w:tabs>
          <w:tab w:val="left" w:pos="1134"/>
        </w:tabs>
        <w:spacing w:before="120" w:after="120"/>
        <w:ind w:left="1134" w:hanging="567"/>
        <w:jc w:val="left"/>
        <w:rPr>
          <w:rFonts w:ascii="Lato" w:hAnsi="Lato"/>
          <w:szCs w:val="22"/>
        </w:rPr>
      </w:pPr>
      <w:r w:rsidRPr="00C4545D">
        <w:rPr>
          <w:rFonts w:ascii="Lato" w:hAnsi="Lato"/>
          <w:szCs w:val="22"/>
        </w:rPr>
        <w:t xml:space="preserve">potencjalny dług celny, który </w:t>
      </w:r>
      <w:r w:rsidR="006F5F36" w:rsidRPr="00C4545D">
        <w:rPr>
          <w:rFonts w:ascii="Lato" w:hAnsi="Lato"/>
          <w:szCs w:val="22"/>
        </w:rPr>
        <w:t>staje się należny, jeżeli wystąpi</w:t>
      </w:r>
      <w:r w:rsidR="00DE245A" w:rsidRPr="00C4545D">
        <w:rPr>
          <w:rFonts w:ascii="Lato" w:hAnsi="Lato"/>
          <w:szCs w:val="22"/>
        </w:rPr>
        <w:t xml:space="preserve"> naruszenie</w:t>
      </w:r>
      <w:r w:rsidRPr="00C4545D">
        <w:rPr>
          <w:rFonts w:ascii="Lato" w:hAnsi="Lato"/>
          <w:szCs w:val="22"/>
        </w:rPr>
        <w:t xml:space="preserve"> warunków </w:t>
      </w:r>
      <w:r w:rsidR="00DE245A" w:rsidRPr="00C4545D">
        <w:rPr>
          <w:rFonts w:ascii="Lato" w:hAnsi="Lato"/>
          <w:szCs w:val="22"/>
        </w:rPr>
        <w:t xml:space="preserve">procedury </w:t>
      </w:r>
      <w:r w:rsidR="00DF1673" w:rsidRPr="00C4545D">
        <w:rPr>
          <w:rFonts w:ascii="Lato" w:hAnsi="Lato"/>
          <w:szCs w:val="22"/>
        </w:rPr>
        <w:t xml:space="preserve">na podstawie art. 79 UKC; jeżeli doszło do naruszenia </w:t>
      </w:r>
      <w:r w:rsidR="00594C37" w:rsidRPr="00C4545D">
        <w:rPr>
          <w:rFonts w:ascii="Lato" w:hAnsi="Lato"/>
          <w:szCs w:val="22"/>
        </w:rPr>
        <w:t>dług celny może powstać z dwóch odrębnych tytułów:</w:t>
      </w:r>
    </w:p>
    <w:p w14:paraId="1CF1EDDD" w14:textId="77777777" w:rsidR="00DF1673" w:rsidRPr="00C4545D" w:rsidRDefault="00DF1673" w:rsidP="00C4545D">
      <w:pPr>
        <w:pStyle w:val="Tekstpodstawowy2"/>
        <w:numPr>
          <w:ilvl w:val="0"/>
          <w:numId w:val="11"/>
        </w:numPr>
        <w:spacing w:before="120" w:after="120"/>
        <w:jc w:val="left"/>
        <w:rPr>
          <w:rFonts w:ascii="Lato" w:hAnsi="Lato"/>
          <w:szCs w:val="22"/>
        </w:rPr>
      </w:pPr>
      <w:r w:rsidRPr="00C4545D">
        <w:rPr>
          <w:rFonts w:ascii="Lato" w:hAnsi="Lato"/>
          <w:szCs w:val="22"/>
        </w:rPr>
        <w:t>j</w:t>
      </w:r>
      <w:r w:rsidR="00594C37" w:rsidRPr="00C4545D">
        <w:rPr>
          <w:rFonts w:ascii="Lato" w:hAnsi="Lato"/>
          <w:szCs w:val="22"/>
        </w:rPr>
        <w:t>ednego z obowiązków przewidzianych w przepisach prawa celnego dotyczących końcowego przeznaczenia, na podstawie art. 79 ust. 1 lit. b UKC (dług powstaje z chwilą niewypełnienia obowiązku) lub</w:t>
      </w:r>
    </w:p>
    <w:p w14:paraId="083EEF2F" w14:textId="77777777" w:rsidR="00594C37" w:rsidRPr="00C4545D" w:rsidRDefault="00594C37" w:rsidP="00C4545D">
      <w:pPr>
        <w:pStyle w:val="Tekstpodstawowy2"/>
        <w:numPr>
          <w:ilvl w:val="0"/>
          <w:numId w:val="11"/>
        </w:numPr>
        <w:spacing w:before="120" w:after="120"/>
        <w:jc w:val="left"/>
        <w:rPr>
          <w:rFonts w:ascii="Lato" w:hAnsi="Lato"/>
          <w:szCs w:val="22"/>
        </w:rPr>
      </w:pPr>
      <w:r w:rsidRPr="00C4545D">
        <w:rPr>
          <w:rFonts w:ascii="Lato" w:hAnsi="Lato"/>
          <w:szCs w:val="22"/>
        </w:rPr>
        <w:t>jednego z warunków wymaganych do przyznania zwolnienia z cła lub obniżonej stawki celnej przywozowej ze względu na końcowe przeznaczenie towaru, na podstawie art. 79 ust. 1 lit. c UKC (dług powstaje z chwilą przyjęcia zgłoszenia celnego).</w:t>
      </w:r>
    </w:p>
    <w:p w14:paraId="716AA4E1" w14:textId="77777777" w:rsidR="00DF1673" w:rsidRPr="00C4545D" w:rsidRDefault="007177C6" w:rsidP="00F96EA3">
      <w:pPr>
        <w:pStyle w:val="Tekstpodstawowy2"/>
        <w:numPr>
          <w:ilvl w:val="0"/>
          <w:numId w:val="13"/>
        </w:numPr>
        <w:spacing w:before="120" w:after="120"/>
        <w:ind w:hanging="502"/>
        <w:jc w:val="left"/>
        <w:rPr>
          <w:rFonts w:ascii="Lato" w:hAnsi="Lato"/>
          <w:szCs w:val="22"/>
        </w:rPr>
      </w:pPr>
      <w:r w:rsidRPr="00C4545D">
        <w:rPr>
          <w:rFonts w:ascii="Lato" w:hAnsi="Lato"/>
          <w:szCs w:val="22"/>
        </w:rPr>
        <w:t>Zgodnie z art. 211 ust. 3</w:t>
      </w:r>
      <w:r w:rsidR="008F133E" w:rsidRPr="00C4545D">
        <w:rPr>
          <w:rFonts w:ascii="Lato" w:hAnsi="Lato"/>
          <w:szCs w:val="22"/>
        </w:rPr>
        <w:t xml:space="preserve"> lit. </w:t>
      </w:r>
      <w:r w:rsidRPr="00C4545D">
        <w:rPr>
          <w:rFonts w:ascii="Lato" w:hAnsi="Lato"/>
          <w:szCs w:val="22"/>
        </w:rPr>
        <w:t xml:space="preserve">c UKC wydanie pozwolenia na korzystanie z procedury końcowego przeznaczenia jest uzależnione od złożenia zabezpieczenia. </w:t>
      </w:r>
      <w:r w:rsidR="00DE245A" w:rsidRPr="00C4545D">
        <w:rPr>
          <w:rFonts w:ascii="Lato" w:hAnsi="Lato"/>
          <w:szCs w:val="22"/>
        </w:rPr>
        <w:t>To z</w:t>
      </w:r>
      <w:r w:rsidR="008F133E" w:rsidRPr="00C4545D">
        <w:rPr>
          <w:rFonts w:ascii="Lato" w:hAnsi="Lato"/>
          <w:szCs w:val="22"/>
        </w:rPr>
        <w:t xml:space="preserve">abezpieczenie dotyczy </w:t>
      </w:r>
      <w:r w:rsidR="00F1623D" w:rsidRPr="00C4545D">
        <w:rPr>
          <w:rFonts w:ascii="Lato" w:hAnsi="Lato"/>
          <w:szCs w:val="22"/>
        </w:rPr>
        <w:t>długu potencjalnego, czyli różnicy między należnościami celnymi i podatkowymi obliczonymi dla stawek preferencyjnych, należnymi w momencie objęcia procedurą (złożenia zgłoszenia do końcowego przeznaczenia, analogicznie jak dla dopuszczenia do obrotu) a długiem, który byłby należny, gdyby zastosowano zwykłą, a nie preferencyjną stawkę celną.</w:t>
      </w:r>
    </w:p>
    <w:p w14:paraId="23443E88" w14:textId="77777777" w:rsidR="00F1623D" w:rsidRPr="00C4545D" w:rsidRDefault="007177C6" w:rsidP="00F96EA3">
      <w:pPr>
        <w:pStyle w:val="Tekstpodstawowy2"/>
        <w:numPr>
          <w:ilvl w:val="0"/>
          <w:numId w:val="13"/>
        </w:numPr>
        <w:spacing w:before="120" w:after="120"/>
        <w:ind w:hanging="502"/>
        <w:jc w:val="left"/>
        <w:rPr>
          <w:rFonts w:ascii="Lato" w:hAnsi="Lato"/>
          <w:szCs w:val="22"/>
        </w:rPr>
      </w:pPr>
      <w:r w:rsidRPr="00C4545D">
        <w:rPr>
          <w:rFonts w:ascii="Lato" w:hAnsi="Lato"/>
          <w:szCs w:val="22"/>
        </w:rPr>
        <w:t>Na mocy przepisów krajowych dotyczących podatku od towarów i usług, tj. art. 33 ust. 7 ustawy z dnia 11 marca 2004 r. o podatku od towarów i usług (Dz. U.</w:t>
      </w:r>
      <w:r w:rsidR="00F40F50" w:rsidRPr="00C4545D">
        <w:rPr>
          <w:rFonts w:ascii="Lato" w:hAnsi="Lato"/>
          <w:szCs w:val="22"/>
        </w:rPr>
        <w:t xml:space="preserve"> z 201</w:t>
      </w:r>
      <w:r w:rsidR="00B3054B" w:rsidRPr="00C4545D">
        <w:rPr>
          <w:rFonts w:ascii="Lato" w:hAnsi="Lato"/>
          <w:szCs w:val="22"/>
        </w:rPr>
        <w:t>7</w:t>
      </w:r>
      <w:r w:rsidR="00F40F50" w:rsidRPr="00C4545D">
        <w:rPr>
          <w:rFonts w:ascii="Lato" w:hAnsi="Lato"/>
          <w:szCs w:val="22"/>
        </w:rPr>
        <w:t xml:space="preserve"> r. poz. </w:t>
      </w:r>
      <w:r w:rsidR="00B3054B" w:rsidRPr="00C4545D">
        <w:rPr>
          <w:rFonts w:ascii="Lato" w:hAnsi="Lato"/>
          <w:szCs w:val="22"/>
        </w:rPr>
        <w:t>1221</w:t>
      </w:r>
      <w:r w:rsidR="00F40F50" w:rsidRPr="00C4545D">
        <w:rPr>
          <w:rFonts w:ascii="Lato" w:hAnsi="Lato"/>
          <w:szCs w:val="22"/>
        </w:rPr>
        <w:t xml:space="preserve"> z </w:t>
      </w:r>
      <w:proofErr w:type="spellStart"/>
      <w:r w:rsidR="00F40F50" w:rsidRPr="00C4545D">
        <w:rPr>
          <w:rFonts w:ascii="Lato" w:hAnsi="Lato"/>
          <w:szCs w:val="22"/>
        </w:rPr>
        <w:t>późn</w:t>
      </w:r>
      <w:proofErr w:type="spellEnd"/>
      <w:r w:rsidR="00F40F50" w:rsidRPr="00C4545D">
        <w:rPr>
          <w:rFonts w:ascii="Lato" w:hAnsi="Lato"/>
          <w:szCs w:val="22"/>
        </w:rPr>
        <w:t xml:space="preserve">. zm.) </w:t>
      </w:r>
      <w:r w:rsidRPr="00C4545D">
        <w:rPr>
          <w:rFonts w:ascii="Lato" w:hAnsi="Lato"/>
          <w:szCs w:val="22"/>
        </w:rPr>
        <w:t xml:space="preserve">zabezpieczenie kwoty tego podatku </w:t>
      </w:r>
      <w:r w:rsidR="00F1623D" w:rsidRPr="00C4545D">
        <w:rPr>
          <w:rFonts w:ascii="Lato" w:hAnsi="Lato"/>
          <w:szCs w:val="22"/>
        </w:rPr>
        <w:t xml:space="preserve">(dla potencjalnego długu celnego) </w:t>
      </w:r>
      <w:r w:rsidRPr="00C4545D">
        <w:rPr>
          <w:rFonts w:ascii="Lato" w:hAnsi="Lato"/>
          <w:szCs w:val="22"/>
        </w:rPr>
        <w:t xml:space="preserve">odbywa się w przypadkach i trybie stosowanych przy zabezpieczaniu należności celnych. Jednakże na podstawie art. 7a-7e tej ustawy zabezpieczenie należności podatkowych nie jest wymagane, jeśli spełnione są określone w tych przepisach warunki. </w:t>
      </w:r>
    </w:p>
    <w:p w14:paraId="0C1FA560" w14:textId="77777777" w:rsidR="00F40F50" w:rsidRPr="00C4545D" w:rsidRDefault="007177C6" w:rsidP="00F96EA3">
      <w:pPr>
        <w:pStyle w:val="Tekstpodstawowy2"/>
        <w:numPr>
          <w:ilvl w:val="0"/>
          <w:numId w:val="13"/>
        </w:numPr>
        <w:spacing w:before="120" w:after="120"/>
        <w:ind w:hanging="502"/>
        <w:jc w:val="left"/>
        <w:rPr>
          <w:rFonts w:ascii="Lato" w:hAnsi="Lato"/>
          <w:szCs w:val="22"/>
        </w:rPr>
      </w:pPr>
      <w:r w:rsidRPr="00C4545D">
        <w:rPr>
          <w:rFonts w:ascii="Lato" w:hAnsi="Lato"/>
          <w:szCs w:val="22"/>
        </w:rPr>
        <w:t xml:space="preserve">Z obowiązku składania zabezpieczenia </w:t>
      </w:r>
      <w:r w:rsidR="00F1623D" w:rsidRPr="00C4545D">
        <w:rPr>
          <w:rFonts w:ascii="Lato" w:hAnsi="Lato"/>
          <w:szCs w:val="22"/>
        </w:rPr>
        <w:t>dla potencjalnego długu celnego</w:t>
      </w:r>
      <w:r w:rsidR="00A13A03" w:rsidRPr="00C4545D">
        <w:rPr>
          <w:rFonts w:ascii="Lato" w:hAnsi="Lato"/>
          <w:szCs w:val="22"/>
        </w:rPr>
        <w:t>,</w:t>
      </w:r>
      <w:r w:rsidR="00F1623D" w:rsidRPr="00C4545D">
        <w:rPr>
          <w:rFonts w:ascii="Lato" w:hAnsi="Lato"/>
          <w:szCs w:val="22"/>
        </w:rPr>
        <w:t xml:space="preserve"> </w:t>
      </w:r>
      <w:r w:rsidRPr="00C4545D">
        <w:rPr>
          <w:rFonts w:ascii="Lato" w:hAnsi="Lato"/>
          <w:szCs w:val="22"/>
        </w:rPr>
        <w:t>z mocy prawa zwolnione są organy publiczne, co oznacza nie tylko organy administracji publicznej (instytucje publiczne i samorządowe będące organami władzy państwowej lub samorządowej), ale też instytucje utworzone i nadzorowane przez te organy, które pełnią w państwie funkcje publiczne (np. muzea).</w:t>
      </w:r>
    </w:p>
    <w:p w14:paraId="35180FAB" w14:textId="77777777" w:rsidR="00F40F50" w:rsidRPr="00C4545D" w:rsidRDefault="007177C6" w:rsidP="00F96EA3">
      <w:pPr>
        <w:pStyle w:val="Tekstpodstawowy2"/>
        <w:numPr>
          <w:ilvl w:val="0"/>
          <w:numId w:val="13"/>
        </w:numPr>
        <w:spacing w:before="120" w:after="120"/>
        <w:ind w:hanging="502"/>
        <w:jc w:val="left"/>
        <w:rPr>
          <w:rFonts w:ascii="Lato" w:hAnsi="Lato"/>
          <w:szCs w:val="22"/>
        </w:rPr>
      </w:pPr>
      <w:r w:rsidRPr="00C4545D">
        <w:rPr>
          <w:rFonts w:ascii="Lato" w:hAnsi="Lato"/>
          <w:szCs w:val="22"/>
        </w:rPr>
        <w:t>Organ celny może zwolnić z zabezpieczenia</w:t>
      </w:r>
      <w:r w:rsidR="00F1623D" w:rsidRPr="00C4545D">
        <w:rPr>
          <w:rFonts w:ascii="Lato" w:hAnsi="Lato"/>
          <w:szCs w:val="22"/>
        </w:rPr>
        <w:t xml:space="preserve"> dla potencjalnego długu celnego</w:t>
      </w:r>
      <w:r w:rsidRPr="00C4545D">
        <w:rPr>
          <w:rFonts w:ascii="Lato" w:hAnsi="Lato"/>
          <w:szCs w:val="22"/>
        </w:rPr>
        <w:t xml:space="preserve">, jeśli kwota należności nie przekracza równowartości 1000 euro (badana odrębnie dla należności celnych i podatkowych). </w:t>
      </w:r>
    </w:p>
    <w:p w14:paraId="771DEB02" w14:textId="77777777" w:rsidR="00F1623D" w:rsidRPr="00EF21BB" w:rsidRDefault="00082219" w:rsidP="00F96EA3">
      <w:pPr>
        <w:pStyle w:val="Tekstpodstawowy2"/>
        <w:numPr>
          <w:ilvl w:val="0"/>
          <w:numId w:val="13"/>
        </w:numPr>
        <w:spacing w:before="120" w:after="120"/>
        <w:ind w:hanging="502"/>
        <w:jc w:val="left"/>
        <w:rPr>
          <w:rStyle w:val="Uwydatnienie"/>
          <w:rFonts w:ascii="Lato" w:hAnsi="Lato"/>
          <w:i w:val="0"/>
          <w:iCs w:val="0"/>
          <w:szCs w:val="22"/>
        </w:rPr>
      </w:pPr>
      <w:r w:rsidRPr="00EF21BB">
        <w:rPr>
          <w:rStyle w:val="Uwydatnienie"/>
          <w:rFonts w:ascii="Lato" w:hAnsi="Lato" w:cs="Calibri"/>
          <w:bCs/>
          <w:i w:val="0"/>
          <w:szCs w:val="22"/>
        </w:rPr>
        <w:t>I</w:t>
      </w:r>
      <w:r w:rsidR="00F1623D" w:rsidRPr="00EF21BB">
        <w:rPr>
          <w:rStyle w:val="Uwydatnienie"/>
          <w:rFonts w:ascii="Lato" w:hAnsi="Lato" w:cs="Calibri"/>
          <w:bCs/>
          <w:i w:val="0"/>
          <w:szCs w:val="22"/>
        </w:rPr>
        <w:t xml:space="preserve">nformacje </w:t>
      </w:r>
      <w:r w:rsidRPr="00EF21BB">
        <w:rPr>
          <w:rFonts w:ascii="Lato" w:hAnsi="Lato"/>
        </w:rPr>
        <w:t xml:space="preserve">dotyczące zabezpieczenia kwoty długu celnego znajdują się na </w:t>
      </w:r>
      <w:hyperlink r:id="rId14" w:history="1">
        <w:r w:rsidRPr="00EF21BB">
          <w:rPr>
            <w:rStyle w:val="Hipercze"/>
            <w:rFonts w:ascii="Lato" w:hAnsi="Lato"/>
          </w:rPr>
          <w:t>Portalu Podatkowym</w:t>
        </w:r>
      </w:hyperlink>
      <w:r w:rsidRPr="00EF21BB">
        <w:rPr>
          <w:rFonts w:ascii="Lato" w:hAnsi="Lato"/>
        </w:rPr>
        <w:t>.</w:t>
      </w:r>
    </w:p>
    <w:p w14:paraId="51CDAE67" w14:textId="52FBCFE5" w:rsidR="007177C6" w:rsidRPr="00C4545D" w:rsidRDefault="007177C6" w:rsidP="00C4545D">
      <w:pPr>
        <w:pStyle w:val="Nagwek1"/>
        <w:jc w:val="left"/>
        <w:rPr>
          <w:rFonts w:ascii="Lato" w:hAnsi="Lato"/>
        </w:rPr>
      </w:pPr>
      <w:bookmarkStart w:id="22" w:name="_Toc459797907"/>
      <w:bookmarkStart w:id="23" w:name="_Toc461616107"/>
      <w:r w:rsidRPr="00C4545D">
        <w:rPr>
          <w:rFonts w:ascii="Lato" w:hAnsi="Lato"/>
        </w:rPr>
        <w:t>Przeniesienie praw i obowiązków</w:t>
      </w:r>
      <w:r w:rsidR="003304A2" w:rsidRPr="00C4545D">
        <w:rPr>
          <w:rFonts w:ascii="Lato" w:hAnsi="Lato"/>
        </w:rPr>
        <w:t xml:space="preserve"> (TORO)</w:t>
      </w:r>
      <w:r w:rsidRPr="00C4545D">
        <w:rPr>
          <w:rFonts w:ascii="Lato" w:hAnsi="Lato"/>
        </w:rPr>
        <w:t xml:space="preserve"> i przemieszczenie towarów</w:t>
      </w:r>
      <w:bookmarkEnd w:id="22"/>
      <w:bookmarkEnd w:id="23"/>
    </w:p>
    <w:p w14:paraId="5AA876DD" w14:textId="39B29C08" w:rsidR="006F6CE1" w:rsidRPr="00C4545D" w:rsidRDefault="00B82E42" w:rsidP="005D7518">
      <w:pPr>
        <w:spacing w:before="120" w:after="120"/>
        <w:ind w:firstLine="567"/>
        <w:rPr>
          <w:rFonts w:ascii="Lato" w:hAnsi="Lato"/>
        </w:rPr>
      </w:pPr>
      <w:r>
        <w:rPr>
          <w:rFonts w:ascii="Lato" w:hAnsi="Lato"/>
        </w:rPr>
        <w:t xml:space="preserve">Poniższe zasady opracowane </w:t>
      </w:r>
      <w:r w:rsidR="008D4CC3">
        <w:rPr>
          <w:rFonts w:ascii="Lato" w:hAnsi="Lato"/>
        </w:rPr>
        <w:t xml:space="preserve">zostały </w:t>
      </w:r>
      <w:r>
        <w:rPr>
          <w:rFonts w:ascii="Lato" w:hAnsi="Lato"/>
        </w:rPr>
        <w:t>na podstawie wytycznych Komisji Europejskiej.</w:t>
      </w:r>
    </w:p>
    <w:p w14:paraId="0BE4E723" w14:textId="3448747B" w:rsidR="000E22E6" w:rsidRPr="00C4545D" w:rsidRDefault="007177C6" w:rsidP="00F96EA3">
      <w:pPr>
        <w:pStyle w:val="Tekstpodstawowy2"/>
        <w:numPr>
          <w:ilvl w:val="0"/>
          <w:numId w:val="13"/>
        </w:numPr>
        <w:spacing w:before="120" w:after="120"/>
        <w:ind w:hanging="502"/>
        <w:jc w:val="left"/>
        <w:rPr>
          <w:rFonts w:ascii="Lato" w:hAnsi="Lato"/>
          <w:szCs w:val="22"/>
        </w:rPr>
      </w:pPr>
      <w:r w:rsidRPr="00C4545D">
        <w:rPr>
          <w:rFonts w:ascii="Lato" w:hAnsi="Lato"/>
          <w:szCs w:val="22"/>
        </w:rPr>
        <w:t>Pr</w:t>
      </w:r>
      <w:r w:rsidR="002F0BD1" w:rsidRPr="00C4545D">
        <w:rPr>
          <w:rFonts w:ascii="Lato" w:hAnsi="Lato"/>
          <w:szCs w:val="22"/>
        </w:rPr>
        <w:t xml:space="preserve">zepisy unijnego prawa celnego zezwalają, aby prawa i obowiązki osoby uprawnionej do korzystania z procedury końcowego przeznaczenia zostały przeniesione w całości lub </w:t>
      </w:r>
      <w:r w:rsidR="00E70315">
        <w:rPr>
          <w:rFonts w:ascii="Lato" w:hAnsi="Lato"/>
          <w:szCs w:val="22"/>
        </w:rPr>
        <w:t>częściowo</w:t>
      </w:r>
      <w:r w:rsidR="002F0BD1" w:rsidRPr="00C4545D">
        <w:rPr>
          <w:rFonts w:ascii="Lato" w:hAnsi="Lato"/>
          <w:szCs w:val="22"/>
        </w:rPr>
        <w:t xml:space="preserve"> na inną osobę. Osoba ta musi jednak spełniać warunki wymagane do korzystania z tej procedury.</w:t>
      </w:r>
    </w:p>
    <w:p w14:paraId="6783DDF0" w14:textId="77777777" w:rsidR="002F0BD1" w:rsidRPr="00C4545D" w:rsidRDefault="007177C6" w:rsidP="00F96EA3">
      <w:pPr>
        <w:pStyle w:val="Tekstpodstawowy2"/>
        <w:numPr>
          <w:ilvl w:val="0"/>
          <w:numId w:val="13"/>
        </w:numPr>
        <w:spacing w:before="120" w:after="120"/>
        <w:ind w:hanging="502"/>
        <w:jc w:val="left"/>
        <w:rPr>
          <w:rFonts w:ascii="Lato" w:hAnsi="Lato"/>
          <w:szCs w:val="22"/>
        </w:rPr>
      </w:pPr>
      <w:r w:rsidRPr="00C4545D">
        <w:rPr>
          <w:rFonts w:ascii="Lato" w:hAnsi="Lato"/>
          <w:szCs w:val="22"/>
        </w:rPr>
        <w:t xml:space="preserve">Przeniesienie praw i obowiązków </w:t>
      </w:r>
      <w:r w:rsidR="002F0BD1" w:rsidRPr="00C4545D">
        <w:rPr>
          <w:rFonts w:ascii="Lato" w:hAnsi="Lato"/>
          <w:szCs w:val="22"/>
        </w:rPr>
        <w:t xml:space="preserve">dotyczy towarów, </w:t>
      </w:r>
      <w:r w:rsidR="002F0BD1" w:rsidRPr="00C4545D">
        <w:rPr>
          <w:rFonts w:ascii="Lato" w:hAnsi="Lato"/>
          <w:b/>
          <w:szCs w:val="22"/>
        </w:rPr>
        <w:t>które już zostały objęte procedurą końcowego przeznaczenia.</w:t>
      </w:r>
    </w:p>
    <w:p w14:paraId="48E6312E" w14:textId="5AA95CF0" w:rsidR="002F0BD1" w:rsidRPr="00C4545D" w:rsidRDefault="002F0BD1" w:rsidP="00F96EA3">
      <w:pPr>
        <w:pStyle w:val="Tekstpodstawowy2"/>
        <w:numPr>
          <w:ilvl w:val="0"/>
          <w:numId w:val="13"/>
        </w:numPr>
        <w:spacing w:before="120" w:after="120"/>
        <w:ind w:hanging="502"/>
        <w:jc w:val="left"/>
        <w:rPr>
          <w:rFonts w:ascii="Lato" w:hAnsi="Lato"/>
          <w:szCs w:val="22"/>
        </w:rPr>
      </w:pPr>
      <w:r w:rsidRPr="00C4545D">
        <w:rPr>
          <w:rFonts w:ascii="Lato" w:hAnsi="Lato"/>
          <w:szCs w:val="22"/>
        </w:rPr>
        <w:t xml:space="preserve">W celu przeniesienia praw i obowiązków, posiadacz pozwolenia na korzystanie z procedury końcowego przeznaczenia musi uzyskać od organów celnych stosowne pozwolenie, tzw. Pozwolenie TORO.  </w:t>
      </w:r>
      <w:r w:rsidRPr="00C4545D">
        <w:rPr>
          <w:rFonts w:ascii="Lato" w:hAnsi="Lato"/>
          <w:b/>
          <w:szCs w:val="22"/>
        </w:rPr>
        <w:t>Pozwolenie TORO powinno być elementem pozwolenia na korzystanie z procedury końcowego przeznaczenia</w:t>
      </w:r>
      <w:r w:rsidRPr="00C4545D">
        <w:rPr>
          <w:rFonts w:ascii="Lato" w:hAnsi="Lato"/>
          <w:szCs w:val="22"/>
        </w:rPr>
        <w:t>. Można o nie wystąpić:</w:t>
      </w:r>
    </w:p>
    <w:p w14:paraId="41F98841" w14:textId="77777777" w:rsidR="002A1756" w:rsidRPr="00C4545D" w:rsidRDefault="002F0BD1" w:rsidP="00C4545D">
      <w:pPr>
        <w:pStyle w:val="Tekstpodstawowy2"/>
        <w:numPr>
          <w:ilvl w:val="0"/>
          <w:numId w:val="24"/>
        </w:numPr>
        <w:spacing w:before="120" w:after="120"/>
        <w:ind w:left="1134" w:hanging="567"/>
        <w:jc w:val="left"/>
        <w:rPr>
          <w:rFonts w:ascii="Lato" w:hAnsi="Lato"/>
          <w:szCs w:val="22"/>
        </w:rPr>
      </w:pPr>
      <w:r w:rsidRPr="00C4545D">
        <w:rPr>
          <w:rFonts w:ascii="Lato" w:hAnsi="Lato"/>
          <w:szCs w:val="22"/>
        </w:rPr>
        <w:t xml:space="preserve">albo na etapie wnioskowania o udzielenie pozwolenia na korzystanie z procedury końcowego przeznaczenia, </w:t>
      </w:r>
    </w:p>
    <w:p w14:paraId="1CECF796" w14:textId="77777777" w:rsidR="002F0BD1" w:rsidRPr="00C4545D" w:rsidRDefault="002F0BD1" w:rsidP="00C4545D">
      <w:pPr>
        <w:pStyle w:val="Tekstpodstawowy2"/>
        <w:numPr>
          <w:ilvl w:val="0"/>
          <w:numId w:val="24"/>
        </w:numPr>
        <w:spacing w:before="120" w:after="120"/>
        <w:ind w:left="1134" w:hanging="567"/>
        <w:jc w:val="left"/>
        <w:rPr>
          <w:rFonts w:ascii="Lato" w:hAnsi="Lato"/>
          <w:szCs w:val="22"/>
        </w:rPr>
      </w:pPr>
      <w:r w:rsidRPr="00C4545D">
        <w:rPr>
          <w:rFonts w:ascii="Lato" w:hAnsi="Lato"/>
          <w:szCs w:val="22"/>
        </w:rPr>
        <w:t>albo na etapie późniejszym, w ramach wnioskowania o zmianę udzielonego już pozwolenia na stosowanie procedury końcowego przeznaczenia.</w:t>
      </w:r>
    </w:p>
    <w:p w14:paraId="0AD68CA9" w14:textId="5060D558" w:rsidR="009E02D7" w:rsidRDefault="00564956" w:rsidP="009E02D7">
      <w:pPr>
        <w:spacing w:before="120" w:after="120"/>
        <w:ind w:left="567"/>
        <w:rPr>
          <w:rFonts w:ascii="Lato" w:hAnsi="Lato"/>
          <w:szCs w:val="22"/>
        </w:rPr>
      </w:pPr>
      <w:r w:rsidRPr="002D0F34">
        <w:rPr>
          <w:rFonts w:ascii="Lato" w:hAnsi="Lato"/>
          <w:szCs w:val="22"/>
        </w:rPr>
        <w:t>Załącznik A do UKC-RD</w:t>
      </w:r>
      <w:r w:rsidRPr="002D0F34">
        <w:rPr>
          <w:rFonts w:ascii="Lato" w:hAnsi="Lato"/>
          <w:b/>
          <w:szCs w:val="22"/>
        </w:rPr>
        <w:t xml:space="preserve"> </w:t>
      </w:r>
      <w:r w:rsidRPr="002D0F34">
        <w:rPr>
          <w:rFonts w:ascii="Lato" w:hAnsi="Lato"/>
          <w:szCs w:val="22"/>
        </w:rPr>
        <w:t>zawiera zakres danych dla wniosku i pozwolenia na stosowanie procedur specjalnych. Jedną z tych danych jest dana (38 08 000 000) dotycząca przeniesienia praw i obowiązków. W</w:t>
      </w:r>
      <w:r w:rsidRPr="002D0F34">
        <w:rPr>
          <w:rFonts w:ascii="Lato" w:hAnsi="Lato"/>
          <w:bCs/>
          <w:szCs w:val="22"/>
        </w:rPr>
        <w:t xml:space="preserve"> ramach tej danej podawane są szczegółowe informacje na temat planowanego przeniesienia praw i obowiązków (dane: 3</w:t>
      </w:r>
      <w:r w:rsidRPr="002D0F34">
        <w:rPr>
          <w:rFonts w:ascii="Lato" w:hAnsi="Lato"/>
          <w:szCs w:val="22"/>
        </w:rPr>
        <w:t xml:space="preserve">8 08 000 213, 38 08 000 009), w tym o </w:t>
      </w:r>
      <w:r w:rsidRPr="002D0F34">
        <w:rPr>
          <w:rFonts w:ascii="Lato" w:hAnsi="Lato"/>
          <w:bCs/>
          <w:szCs w:val="22"/>
        </w:rPr>
        <w:t>„Osobie przejmującej”</w:t>
      </w:r>
      <w:r w:rsidR="002D0F34" w:rsidRPr="002D0F34">
        <w:rPr>
          <w:rFonts w:ascii="Lato" w:hAnsi="Lato"/>
          <w:bCs/>
          <w:szCs w:val="22"/>
        </w:rPr>
        <w:t xml:space="preserve">, </w:t>
      </w:r>
      <w:r w:rsidRPr="002D0F34">
        <w:rPr>
          <w:rFonts w:ascii="Lato" w:hAnsi="Lato"/>
          <w:bCs/>
          <w:szCs w:val="22"/>
        </w:rPr>
        <w:t>czyli osobie, na którą zostaną przeniesione prawa i obowiązki osoby uprawnionej do korzystania z procedury (dana 38 08 010</w:t>
      </w:r>
      <w:r w:rsidR="0044124E">
        <w:rPr>
          <w:rFonts w:ascii="Lato" w:hAnsi="Lato"/>
          <w:bCs/>
          <w:szCs w:val="22"/>
        </w:rPr>
        <w:t> </w:t>
      </w:r>
      <w:r w:rsidRPr="002D0F34">
        <w:rPr>
          <w:rFonts w:ascii="Lato" w:hAnsi="Lato"/>
          <w:bCs/>
          <w:szCs w:val="22"/>
        </w:rPr>
        <w:t>000</w:t>
      </w:r>
      <w:r w:rsidR="0044124E">
        <w:rPr>
          <w:rFonts w:ascii="Lato" w:hAnsi="Lato"/>
          <w:bCs/>
          <w:szCs w:val="22"/>
        </w:rPr>
        <w:t>,</w:t>
      </w:r>
      <w:r w:rsidR="002D0F34" w:rsidRPr="002D0F34">
        <w:rPr>
          <w:rFonts w:ascii="Lato" w:hAnsi="Lato"/>
          <w:bCs/>
          <w:szCs w:val="22"/>
        </w:rPr>
        <w:t xml:space="preserve"> w ramach której podawana jest</w:t>
      </w:r>
      <w:r w:rsidRPr="0044124E">
        <w:rPr>
          <w:rFonts w:ascii="Lato" w:hAnsi="Lato"/>
          <w:szCs w:val="22"/>
        </w:rPr>
        <w:t xml:space="preserve"> nazw</w:t>
      </w:r>
      <w:r w:rsidR="002D0F34" w:rsidRPr="0044124E">
        <w:rPr>
          <w:rFonts w:ascii="Lato" w:hAnsi="Lato"/>
          <w:szCs w:val="22"/>
        </w:rPr>
        <w:t>a</w:t>
      </w:r>
      <w:r w:rsidRPr="0044124E">
        <w:rPr>
          <w:rFonts w:ascii="Lato" w:hAnsi="Lato"/>
          <w:szCs w:val="22"/>
        </w:rPr>
        <w:t>, adres, numer EORI, a także numer referencyjny pozwolenia TORO (jeżeli jest dostępny lub konieczny)</w:t>
      </w:r>
      <w:r w:rsidR="002D0F34" w:rsidRPr="0044124E">
        <w:rPr>
          <w:rFonts w:ascii="Lato" w:hAnsi="Lato"/>
          <w:szCs w:val="22"/>
        </w:rPr>
        <w:t>)</w:t>
      </w:r>
      <w:r w:rsidRPr="0044124E">
        <w:rPr>
          <w:rFonts w:ascii="Lato" w:hAnsi="Lato"/>
          <w:szCs w:val="22"/>
        </w:rPr>
        <w:t xml:space="preserve"> oraz proponowane formalności transferowe </w:t>
      </w:r>
      <w:r w:rsidR="002D0F34" w:rsidRPr="0044124E">
        <w:rPr>
          <w:rFonts w:ascii="Lato" w:hAnsi="Lato"/>
          <w:szCs w:val="22"/>
        </w:rPr>
        <w:t>(</w:t>
      </w:r>
      <w:r w:rsidRPr="0044124E">
        <w:rPr>
          <w:rFonts w:ascii="Lato" w:hAnsi="Lato"/>
          <w:szCs w:val="22"/>
        </w:rPr>
        <w:t>dana 38 08 000 009; możliwe jest dodatkowo wykorzystanie do tego celu danej 38 08 010</w:t>
      </w:r>
      <w:r w:rsidR="002D0F34" w:rsidRPr="0044124E">
        <w:rPr>
          <w:rFonts w:ascii="Lato" w:hAnsi="Lato"/>
          <w:szCs w:val="22"/>
        </w:rPr>
        <w:t> </w:t>
      </w:r>
      <w:r w:rsidRPr="0044124E">
        <w:rPr>
          <w:rFonts w:ascii="Lato" w:hAnsi="Lato"/>
          <w:szCs w:val="22"/>
        </w:rPr>
        <w:t>009</w:t>
      </w:r>
      <w:r w:rsidR="002D0F34" w:rsidRPr="0044124E">
        <w:rPr>
          <w:rFonts w:ascii="Lato" w:hAnsi="Lato"/>
          <w:szCs w:val="22"/>
        </w:rPr>
        <w:t>)</w:t>
      </w:r>
      <w:r w:rsidRPr="0044124E">
        <w:rPr>
          <w:rFonts w:ascii="Lato" w:hAnsi="Lato"/>
          <w:szCs w:val="22"/>
        </w:rPr>
        <w:t>.</w:t>
      </w:r>
    </w:p>
    <w:p w14:paraId="1D8A8CDF" w14:textId="63DED575" w:rsidR="009E02D7" w:rsidRPr="002D0F34" w:rsidRDefault="009E02D7" w:rsidP="00564956">
      <w:pPr>
        <w:spacing w:before="120" w:after="120"/>
        <w:ind w:left="567"/>
        <w:rPr>
          <w:rFonts w:ascii="Lato" w:hAnsi="Lato"/>
          <w:szCs w:val="22"/>
        </w:rPr>
      </w:pPr>
      <w:r w:rsidRPr="009E02D7">
        <w:rPr>
          <w:rFonts w:ascii="Lato" w:hAnsi="Lato"/>
          <w:szCs w:val="22"/>
        </w:rPr>
        <w:t xml:space="preserve">Jak wynika z załącznika A do UKC-RD, Tytuł II (Wymogi dotyczące danych wraz z uwagami), Tabela wymogów dotyczących danych dla grup danych 31-38, kolumna A163 (8f), dana „38 08 000 000. Przeniesienie praw i obowiązków” nie jest daną przewidzianą do podania w odniesieniu do wniosku i pozwolenia na stosowanie procedury końcowego przeznaczenia na podstawie zgłoszenia celnego. A zatem, w związku ze specyfiką pozwolenia na zgłoszeniu celnym, w przypadku, gdy pozwolenie ma zostać wydane na podstawie zgłoszenia celnego </w:t>
      </w:r>
      <w:r w:rsidRPr="005D7518">
        <w:rPr>
          <w:rFonts w:ascii="Lato" w:hAnsi="Lato"/>
          <w:b/>
          <w:bCs/>
          <w:color w:val="000000" w:themeColor="text1"/>
          <w:szCs w:val="22"/>
        </w:rPr>
        <w:t>(w tzw. „trybie skróconym”)</w:t>
      </w:r>
      <w:r w:rsidRPr="005D7518">
        <w:rPr>
          <w:rFonts w:ascii="Lato" w:hAnsi="Lato"/>
          <w:color w:val="000000" w:themeColor="text1"/>
          <w:szCs w:val="22"/>
        </w:rPr>
        <w:t xml:space="preserve"> </w:t>
      </w:r>
      <w:r w:rsidRPr="009E02D7">
        <w:rPr>
          <w:rFonts w:ascii="Lato" w:hAnsi="Lato"/>
          <w:b/>
          <w:bCs/>
          <w:szCs w:val="22"/>
        </w:rPr>
        <w:t>nie jest możliwe wyrażenie w nim zgody na przeniesienie praw i obowiązków</w:t>
      </w:r>
      <w:r w:rsidRPr="009E02D7">
        <w:rPr>
          <w:rFonts w:ascii="Lato" w:hAnsi="Lato"/>
          <w:szCs w:val="22"/>
        </w:rPr>
        <w:t xml:space="preserve">. Ewentualnie można rozważyć udzielenie w takim przypadku pozwolenia z mocą wsteczną w „pełnej formie”. </w:t>
      </w:r>
    </w:p>
    <w:p w14:paraId="49E30464" w14:textId="574D6134" w:rsidR="002F0BD1" w:rsidRPr="00C4545D" w:rsidRDefault="002F0BD1" w:rsidP="00F96EA3">
      <w:pPr>
        <w:pStyle w:val="Tekstpodstawowy2"/>
        <w:numPr>
          <w:ilvl w:val="0"/>
          <w:numId w:val="13"/>
        </w:numPr>
        <w:spacing w:before="120" w:after="120"/>
        <w:ind w:hanging="502"/>
        <w:jc w:val="left"/>
        <w:rPr>
          <w:rFonts w:ascii="Lato" w:hAnsi="Lato"/>
          <w:szCs w:val="22"/>
        </w:rPr>
      </w:pPr>
      <w:r w:rsidRPr="00C4545D">
        <w:rPr>
          <w:rFonts w:ascii="Lato" w:hAnsi="Lato"/>
          <w:szCs w:val="22"/>
        </w:rPr>
        <w:t>Podając informacje na temat osoby, na którą przenoszone są prawa i obowiązki należy pamiętać, że osoba taka musi mieć siedzibę na obszarze celnym Unii.</w:t>
      </w:r>
    </w:p>
    <w:p w14:paraId="252C546F" w14:textId="77777777" w:rsidR="002F0BD1" w:rsidRPr="00C4545D" w:rsidRDefault="002F0BD1" w:rsidP="00F96EA3">
      <w:pPr>
        <w:pStyle w:val="Tekstpodstawowy2"/>
        <w:numPr>
          <w:ilvl w:val="0"/>
          <w:numId w:val="13"/>
        </w:numPr>
        <w:spacing w:before="120" w:after="120"/>
        <w:ind w:hanging="502"/>
        <w:jc w:val="left"/>
        <w:rPr>
          <w:rFonts w:ascii="Lato" w:hAnsi="Lato"/>
          <w:b/>
          <w:szCs w:val="22"/>
        </w:rPr>
      </w:pPr>
      <w:r w:rsidRPr="00C4545D">
        <w:rPr>
          <w:rFonts w:ascii="Lato" w:hAnsi="Lato"/>
          <w:szCs w:val="22"/>
        </w:rPr>
        <w:t xml:space="preserve">Okoliczność, że następuje przeniesienie praw i obowiązków osoby uprawnionej do korzystania z procedury końcowego przeznaczenia nie powoduje, że zmianie ulega posiadacz pozwolenia na korzystanie z tej procedury. </w:t>
      </w:r>
      <w:r w:rsidRPr="00C4545D">
        <w:rPr>
          <w:rFonts w:ascii="Lato" w:hAnsi="Lato"/>
          <w:b/>
          <w:szCs w:val="22"/>
        </w:rPr>
        <w:t>Posiadacz pozwolenia na korzystanie z procedury końcowego przeznaczenia zawsze pozostaje ten sam.</w:t>
      </w:r>
    </w:p>
    <w:p w14:paraId="30AFF394" w14:textId="0F445EC1" w:rsidR="002F0BD1" w:rsidRPr="00C4545D" w:rsidRDefault="002F0BD1" w:rsidP="00F96EA3">
      <w:pPr>
        <w:pStyle w:val="Tekstpodstawowy2"/>
        <w:numPr>
          <w:ilvl w:val="0"/>
          <w:numId w:val="13"/>
        </w:numPr>
        <w:spacing w:before="120" w:after="120"/>
        <w:ind w:hanging="502"/>
        <w:jc w:val="left"/>
        <w:rPr>
          <w:rFonts w:ascii="Lato" w:hAnsi="Lato"/>
          <w:b/>
          <w:szCs w:val="22"/>
        </w:rPr>
      </w:pPr>
      <w:r w:rsidRPr="00C4545D">
        <w:rPr>
          <w:rFonts w:ascii="Lato" w:hAnsi="Lato"/>
          <w:szCs w:val="22"/>
        </w:rPr>
        <w:t xml:space="preserve">Osoba, na którą zostają przeniesione prawa i obowiązki, </w:t>
      </w:r>
      <w:r w:rsidR="00CC40C6">
        <w:rPr>
          <w:rFonts w:ascii="Lato" w:hAnsi="Lato"/>
          <w:szCs w:val="22"/>
        </w:rPr>
        <w:t>zwana dalej</w:t>
      </w:r>
      <w:r w:rsidRPr="00C4545D">
        <w:rPr>
          <w:rFonts w:ascii="Lato" w:hAnsi="Lato"/>
          <w:b/>
          <w:szCs w:val="22"/>
        </w:rPr>
        <w:t xml:space="preserve"> </w:t>
      </w:r>
      <w:r w:rsidR="00DC13CD">
        <w:rPr>
          <w:rFonts w:ascii="Lato" w:hAnsi="Lato"/>
          <w:b/>
          <w:szCs w:val="22"/>
        </w:rPr>
        <w:t>„</w:t>
      </w:r>
      <w:r w:rsidRPr="00C4545D">
        <w:rPr>
          <w:rFonts w:ascii="Lato" w:hAnsi="Lato"/>
          <w:b/>
          <w:szCs w:val="22"/>
        </w:rPr>
        <w:t>Przejmujący</w:t>
      </w:r>
      <w:r w:rsidR="00DC13CD">
        <w:rPr>
          <w:rFonts w:ascii="Lato" w:hAnsi="Lato"/>
          <w:b/>
          <w:szCs w:val="22"/>
        </w:rPr>
        <w:t>”</w:t>
      </w:r>
      <w:r w:rsidRPr="00C4545D">
        <w:rPr>
          <w:rFonts w:ascii="Lato" w:hAnsi="Lato"/>
          <w:b/>
          <w:szCs w:val="22"/>
        </w:rPr>
        <w:t>:</w:t>
      </w:r>
    </w:p>
    <w:p w14:paraId="692032A7" w14:textId="4CF3BF38" w:rsidR="002F0BD1" w:rsidRPr="00C4545D" w:rsidRDefault="002F0BD1" w:rsidP="00C4545D">
      <w:pPr>
        <w:pStyle w:val="Tekstpodstawowy2"/>
        <w:numPr>
          <w:ilvl w:val="0"/>
          <w:numId w:val="15"/>
        </w:numPr>
        <w:spacing w:before="120" w:after="120"/>
        <w:ind w:left="1134" w:hanging="567"/>
        <w:jc w:val="left"/>
        <w:rPr>
          <w:rFonts w:ascii="Lato" w:hAnsi="Lato"/>
          <w:szCs w:val="22"/>
        </w:rPr>
      </w:pPr>
      <w:r w:rsidRPr="00C4545D">
        <w:rPr>
          <w:rFonts w:ascii="Lato" w:hAnsi="Lato"/>
          <w:szCs w:val="22"/>
        </w:rPr>
        <w:t xml:space="preserve">nie staje się posiadaczem pozwolenia na </w:t>
      </w:r>
      <w:r w:rsidR="00DC13CD">
        <w:rPr>
          <w:rFonts w:ascii="Lato" w:hAnsi="Lato"/>
          <w:szCs w:val="22"/>
        </w:rPr>
        <w:t>korzystanie z procedury końcowego przeznaczenia</w:t>
      </w:r>
      <w:r w:rsidRPr="00C4545D">
        <w:rPr>
          <w:rFonts w:ascii="Lato" w:hAnsi="Lato"/>
          <w:szCs w:val="22"/>
        </w:rPr>
        <w:t>, ani nie musi ubiegać się o takie pozwolenie,</w:t>
      </w:r>
    </w:p>
    <w:p w14:paraId="13443239" w14:textId="3F845DD3" w:rsidR="002F0BD1" w:rsidRPr="00C4545D" w:rsidRDefault="002F0BD1" w:rsidP="00C4545D">
      <w:pPr>
        <w:pStyle w:val="Tekstpodstawowy2"/>
        <w:numPr>
          <w:ilvl w:val="0"/>
          <w:numId w:val="15"/>
        </w:numPr>
        <w:spacing w:before="120" w:after="120"/>
        <w:ind w:left="1134" w:hanging="567"/>
        <w:jc w:val="left"/>
        <w:rPr>
          <w:rFonts w:ascii="Lato" w:hAnsi="Lato"/>
          <w:szCs w:val="22"/>
        </w:rPr>
      </w:pPr>
      <w:r w:rsidRPr="00C4545D">
        <w:rPr>
          <w:rFonts w:ascii="Lato" w:hAnsi="Lato"/>
          <w:szCs w:val="22"/>
        </w:rPr>
        <w:t>musi spełniać takie same warunki do korzystania z procedury, jakie zostały przewidziane dla posiadacza pozwolenia</w:t>
      </w:r>
      <w:r w:rsidR="00DC13CD" w:rsidRPr="00DC13CD">
        <w:rPr>
          <w:rFonts w:ascii="Lato" w:hAnsi="Lato"/>
          <w:szCs w:val="22"/>
        </w:rPr>
        <w:t xml:space="preserve"> </w:t>
      </w:r>
      <w:r w:rsidR="00DC13CD" w:rsidRPr="00C4545D">
        <w:rPr>
          <w:rFonts w:ascii="Lato" w:hAnsi="Lato"/>
          <w:szCs w:val="22"/>
        </w:rPr>
        <w:t xml:space="preserve">na </w:t>
      </w:r>
      <w:r w:rsidR="00DC13CD">
        <w:rPr>
          <w:rFonts w:ascii="Lato" w:hAnsi="Lato"/>
          <w:szCs w:val="22"/>
        </w:rPr>
        <w:t>korzystanie z procedury końcowego przeznaczenia</w:t>
      </w:r>
      <w:r w:rsidRPr="00C4545D">
        <w:rPr>
          <w:rFonts w:ascii="Lato" w:hAnsi="Lato"/>
          <w:szCs w:val="22"/>
        </w:rPr>
        <w:t>.</w:t>
      </w:r>
    </w:p>
    <w:p w14:paraId="3A476A5B" w14:textId="77777777" w:rsidR="00842B33" w:rsidRPr="00C4545D" w:rsidRDefault="00842B33" w:rsidP="00F96EA3">
      <w:pPr>
        <w:pStyle w:val="Tekstpodstawowy2"/>
        <w:numPr>
          <w:ilvl w:val="0"/>
          <w:numId w:val="13"/>
        </w:numPr>
        <w:spacing w:before="120" w:after="120"/>
        <w:ind w:hanging="502"/>
        <w:jc w:val="left"/>
        <w:rPr>
          <w:rFonts w:ascii="Lato" w:hAnsi="Lato"/>
          <w:bCs/>
          <w:szCs w:val="22"/>
        </w:rPr>
      </w:pPr>
      <w:r w:rsidRPr="00C4545D">
        <w:rPr>
          <w:rFonts w:ascii="Lato" w:hAnsi="Lato"/>
          <w:szCs w:val="22"/>
        </w:rPr>
        <w:t xml:space="preserve">Zakres praw i obowiązków, których dotyczyć ma przeniesienie powinien zostać wyraźnie określony przez wnioskodawcę we wniosku. </w:t>
      </w:r>
      <w:r w:rsidRPr="00C4545D">
        <w:rPr>
          <w:rFonts w:ascii="Lato" w:hAnsi="Lato"/>
          <w:bCs/>
          <w:szCs w:val="22"/>
        </w:rPr>
        <w:t>Prawa i obowiązki są zawsze związane z towarami, które zostały objęte procedurą końcowego przeznaczenia. Niektóre „osobiste”' prawa i obowiązki, takie jak „status AEO” lub „zapewnianie prawidłowej realizacji operacji” (patrz: art. 211 ust. 3 lit. b) UKC) nie mogą zostać przeniesione.</w:t>
      </w:r>
    </w:p>
    <w:p w14:paraId="60C800FE" w14:textId="77777777" w:rsidR="00842B33" w:rsidRPr="00C4545D" w:rsidRDefault="00842B33" w:rsidP="00F96EA3">
      <w:pPr>
        <w:pStyle w:val="Tekstpodstawowy2"/>
        <w:numPr>
          <w:ilvl w:val="0"/>
          <w:numId w:val="13"/>
        </w:numPr>
        <w:spacing w:before="120" w:after="120"/>
        <w:ind w:hanging="502"/>
        <w:jc w:val="left"/>
        <w:rPr>
          <w:rFonts w:ascii="Lato" w:hAnsi="Lato"/>
          <w:szCs w:val="22"/>
        </w:rPr>
      </w:pPr>
      <w:r w:rsidRPr="00C4545D">
        <w:rPr>
          <w:rFonts w:ascii="Lato" w:hAnsi="Lato"/>
          <w:szCs w:val="22"/>
        </w:rPr>
        <w:t xml:space="preserve">Przedmiotem przeniesienia praw i obowiązków </w:t>
      </w:r>
      <w:r w:rsidRPr="00C4545D">
        <w:rPr>
          <w:rFonts w:ascii="Lato" w:hAnsi="Lato"/>
          <w:b/>
          <w:szCs w:val="22"/>
        </w:rPr>
        <w:t>nie mogą być towary ekwiwalentne</w:t>
      </w:r>
      <w:r w:rsidRPr="00C4545D">
        <w:rPr>
          <w:rFonts w:ascii="Lato" w:hAnsi="Lato"/>
          <w:szCs w:val="22"/>
        </w:rPr>
        <w:t xml:space="preserve"> stosowane w ramach procedury końcowego przeznaczenia, bowiem przedmiotem TORO mogą być wyłącznie towary, które objęto procedurą końcowego przeznaczenia.</w:t>
      </w:r>
    </w:p>
    <w:p w14:paraId="73DB0B9A" w14:textId="77777777" w:rsidR="00842B33" w:rsidRPr="00C4545D" w:rsidRDefault="00842B33" w:rsidP="00F96EA3">
      <w:pPr>
        <w:pStyle w:val="Tekstpodstawowy2"/>
        <w:numPr>
          <w:ilvl w:val="0"/>
          <w:numId w:val="13"/>
        </w:numPr>
        <w:spacing w:before="120" w:after="120"/>
        <w:ind w:hanging="502"/>
        <w:jc w:val="left"/>
        <w:rPr>
          <w:rFonts w:ascii="Lato" w:hAnsi="Lato"/>
          <w:szCs w:val="22"/>
        </w:rPr>
      </w:pPr>
      <w:r w:rsidRPr="00C4545D">
        <w:rPr>
          <w:rFonts w:ascii="Lato" w:hAnsi="Lato"/>
          <w:szCs w:val="22"/>
        </w:rPr>
        <w:t>Przeniesione na inną osobę mogą być przykładowo następujące prawa osoby uprawnionej do korzystania z procedury:</w:t>
      </w:r>
    </w:p>
    <w:p w14:paraId="35591266" w14:textId="0E1C88C6" w:rsidR="00842B33" w:rsidRPr="00C4545D" w:rsidRDefault="00842B33" w:rsidP="005D7518">
      <w:pPr>
        <w:pStyle w:val="Tekstpodstawowy2"/>
        <w:numPr>
          <w:ilvl w:val="0"/>
          <w:numId w:val="21"/>
        </w:numPr>
        <w:spacing w:before="120" w:after="120"/>
        <w:ind w:left="1134" w:hanging="567"/>
        <w:jc w:val="left"/>
        <w:rPr>
          <w:rFonts w:ascii="Lato" w:hAnsi="Lato"/>
          <w:szCs w:val="22"/>
        </w:rPr>
      </w:pPr>
      <w:r w:rsidRPr="00C4545D">
        <w:rPr>
          <w:rFonts w:ascii="Lato" w:hAnsi="Lato"/>
          <w:szCs w:val="22"/>
        </w:rPr>
        <w:t>prawo do korzystania z towarów – art. 254 ust. 4 lit. b UKC i art. 124 ust. 1 UKC;</w:t>
      </w:r>
    </w:p>
    <w:p w14:paraId="3523ABD8" w14:textId="10C8EAD6" w:rsidR="00842B33" w:rsidRPr="00C4545D" w:rsidRDefault="00842B33" w:rsidP="005D7518">
      <w:pPr>
        <w:pStyle w:val="Tekstpodstawowy2"/>
        <w:numPr>
          <w:ilvl w:val="0"/>
          <w:numId w:val="21"/>
        </w:numPr>
        <w:spacing w:before="120" w:after="120"/>
        <w:ind w:left="1134" w:hanging="567"/>
        <w:jc w:val="left"/>
        <w:rPr>
          <w:rFonts w:ascii="Lato" w:hAnsi="Lato"/>
          <w:szCs w:val="22"/>
        </w:rPr>
      </w:pPr>
      <w:r w:rsidRPr="00C4545D">
        <w:rPr>
          <w:rFonts w:ascii="Lato" w:hAnsi="Lato"/>
          <w:szCs w:val="22"/>
        </w:rPr>
        <w:t>prawo do przemieszczania towarów objętych procedurą – art.</w:t>
      </w:r>
      <w:r w:rsidR="001B0BA6">
        <w:rPr>
          <w:rFonts w:ascii="Lato" w:hAnsi="Lato"/>
          <w:szCs w:val="22"/>
        </w:rPr>
        <w:t xml:space="preserve"> </w:t>
      </w:r>
      <w:r w:rsidRPr="00C4545D">
        <w:rPr>
          <w:rFonts w:ascii="Lato" w:hAnsi="Lato"/>
          <w:szCs w:val="22"/>
        </w:rPr>
        <w:t>219 UKC;</w:t>
      </w:r>
    </w:p>
    <w:p w14:paraId="348460AD" w14:textId="77777777" w:rsidR="00842B33" w:rsidRPr="00C4545D" w:rsidRDefault="00842B33" w:rsidP="005D7518">
      <w:pPr>
        <w:pStyle w:val="Tekstpodstawowy2"/>
        <w:numPr>
          <w:ilvl w:val="0"/>
          <w:numId w:val="21"/>
        </w:numPr>
        <w:spacing w:before="120" w:after="120"/>
        <w:ind w:left="1134" w:hanging="567"/>
        <w:jc w:val="left"/>
        <w:rPr>
          <w:rFonts w:ascii="Lato" w:hAnsi="Lato"/>
          <w:szCs w:val="22"/>
        </w:rPr>
      </w:pPr>
      <w:r w:rsidRPr="00C4545D">
        <w:rPr>
          <w:rFonts w:ascii="Lato" w:hAnsi="Lato"/>
          <w:szCs w:val="22"/>
        </w:rPr>
        <w:t>prawo do wywozu towarów przed przypisaniem im przewidzianego końcowego przeznaczenia, a tym samym skorzystania z wygaśnięcia długu celnego – art. 124 ust. 1 UKC.</w:t>
      </w:r>
    </w:p>
    <w:p w14:paraId="557D9334" w14:textId="77777777" w:rsidR="00842B33" w:rsidRPr="00C4545D" w:rsidRDefault="00842B33" w:rsidP="00F96EA3">
      <w:pPr>
        <w:pStyle w:val="Akapitzlist"/>
        <w:numPr>
          <w:ilvl w:val="0"/>
          <w:numId w:val="13"/>
        </w:numPr>
        <w:spacing w:before="120" w:after="120"/>
        <w:ind w:hanging="502"/>
        <w:rPr>
          <w:rFonts w:ascii="Lato" w:eastAsia="Times New Roman" w:hAnsi="Lato"/>
          <w:lang w:bidi="ar-SA"/>
        </w:rPr>
      </w:pPr>
      <w:r w:rsidRPr="00C4545D">
        <w:rPr>
          <w:rFonts w:ascii="Lato" w:eastAsia="Times New Roman" w:hAnsi="Lato"/>
          <w:lang w:bidi="ar-SA"/>
        </w:rPr>
        <w:t xml:space="preserve">Przeniesione na inną osobę mogą być przykładowo następujące </w:t>
      </w:r>
      <w:r w:rsidR="0086198E" w:rsidRPr="00C4545D">
        <w:rPr>
          <w:rFonts w:ascii="Lato" w:eastAsia="Times New Roman" w:hAnsi="Lato"/>
          <w:lang w:bidi="ar-SA"/>
        </w:rPr>
        <w:t>obowiązki</w:t>
      </w:r>
      <w:r w:rsidRPr="00C4545D">
        <w:rPr>
          <w:rFonts w:ascii="Lato" w:eastAsia="Times New Roman" w:hAnsi="Lato"/>
          <w:lang w:bidi="ar-SA"/>
        </w:rPr>
        <w:t xml:space="preserve"> osoby uprawnionej do korzystania z procedury:</w:t>
      </w:r>
    </w:p>
    <w:p w14:paraId="4D85213C" w14:textId="77777777" w:rsidR="0086198E" w:rsidRPr="00C4545D" w:rsidRDefault="0086198E" w:rsidP="00C4545D">
      <w:pPr>
        <w:pStyle w:val="Tekstpodstawowy2"/>
        <w:numPr>
          <w:ilvl w:val="0"/>
          <w:numId w:val="22"/>
        </w:numPr>
        <w:spacing w:before="120" w:after="120"/>
        <w:ind w:left="1134" w:hanging="567"/>
        <w:jc w:val="left"/>
        <w:rPr>
          <w:rFonts w:ascii="Lato" w:hAnsi="Lato"/>
          <w:szCs w:val="22"/>
        </w:rPr>
      </w:pPr>
      <w:r w:rsidRPr="00C4545D">
        <w:rPr>
          <w:rFonts w:ascii="Lato" w:hAnsi="Lato"/>
          <w:szCs w:val="22"/>
        </w:rPr>
        <w:t>obowiązek przypisania towarom przewidzianego końcowego przeznaczenia w terminie do zamknięcia procedury – art. 254 ust. 1 UKC;</w:t>
      </w:r>
    </w:p>
    <w:p w14:paraId="0758D17E" w14:textId="7D0B8B55" w:rsidR="0086198E" w:rsidRPr="00C4545D" w:rsidRDefault="0086198E" w:rsidP="00C4545D">
      <w:pPr>
        <w:pStyle w:val="Tekstpodstawowy2"/>
        <w:numPr>
          <w:ilvl w:val="0"/>
          <w:numId w:val="22"/>
        </w:numPr>
        <w:spacing w:before="120" w:after="120"/>
        <w:ind w:left="1134" w:hanging="567"/>
        <w:jc w:val="left"/>
        <w:rPr>
          <w:rFonts w:ascii="Lato" w:hAnsi="Lato"/>
          <w:szCs w:val="22"/>
        </w:rPr>
      </w:pPr>
      <w:r w:rsidRPr="00C4545D">
        <w:rPr>
          <w:rFonts w:ascii="Lato" w:hAnsi="Lato"/>
          <w:szCs w:val="22"/>
        </w:rPr>
        <w:t>obowiązek prowadzenia ewidencji – art. 214 ust.1 UKC</w:t>
      </w:r>
      <w:r w:rsidR="001B0BA6">
        <w:rPr>
          <w:rFonts w:ascii="Lato" w:hAnsi="Lato"/>
          <w:szCs w:val="22"/>
        </w:rPr>
        <w:t xml:space="preserve"> </w:t>
      </w:r>
      <w:r w:rsidR="001B0BA6" w:rsidRPr="001B0BA6">
        <w:rPr>
          <w:rFonts w:ascii="Lato" w:hAnsi="Lato"/>
          <w:szCs w:val="22"/>
        </w:rPr>
        <w:t>(i zamieszczania w niej informacji,</w:t>
      </w:r>
      <w:r w:rsidR="001B0BA6">
        <w:rPr>
          <w:rFonts w:ascii="Lato" w:hAnsi="Lato"/>
          <w:szCs w:val="22"/>
        </w:rPr>
        <w:t xml:space="preserve"> </w:t>
      </w:r>
      <w:r w:rsidR="001B0BA6" w:rsidRPr="001B0BA6">
        <w:rPr>
          <w:rFonts w:ascii="Lato" w:hAnsi="Lato"/>
          <w:szCs w:val="22"/>
        </w:rPr>
        <w:t>o których mowa w art. 178 ust. 1 UKC-RD)</w:t>
      </w:r>
      <w:r w:rsidRPr="00C4545D">
        <w:rPr>
          <w:rFonts w:ascii="Lato" w:hAnsi="Lato"/>
          <w:szCs w:val="22"/>
        </w:rPr>
        <w:t>;</w:t>
      </w:r>
    </w:p>
    <w:p w14:paraId="75698851" w14:textId="77777777" w:rsidR="0086198E" w:rsidRPr="00C4545D" w:rsidRDefault="0086198E" w:rsidP="00C4545D">
      <w:pPr>
        <w:pStyle w:val="Tekstpodstawowy2"/>
        <w:numPr>
          <w:ilvl w:val="0"/>
          <w:numId w:val="22"/>
        </w:numPr>
        <w:spacing w:before="120" w:after="120"/>
        <w:ind w:left="1134" w:hanging="567"/>
        <w:jc w:val="left"/>
        <w:rPr>
          <w:rFonts w:ascii="Lato" w:hAnsi="Lato"/>
          <w:szCs w:val="22"/>
        </w:rPr>
      </w:pPr>
      <w:r w:rsidRPr="00C4545D">
        <w:rPr>
          <w:rFonts w:ascii="Lato" w:hAnsi="Lato"/>
          <w:szCs w:val="22"/>
        </w:rPr>
        <w:t>obowiązek udostępnienia towarów dla celów zastosowania środków kontroli celnej;</w:t>
      </w:r>
    </w:p>
    <w:p w14:paraId="6C9F7872" w14:textId="77777777" w:rsidR="00842B33" w:rsidRPr="00C4545D" w:rsidRDefault="0086198E" w:rsidP="00C4545D">
      <w:pPr>
        <w:pStyle w:val="Tekstpodstawowy2"/>
        <w:numPr>
          <w:ilvl w:val="0"/>
          <w:numId w:val="22"/>
        </w:numPr>
        <w:spacing w:before="120" w:after="120"/>
        <w:ind w:left="1134" w:hanging="567"/>
        <w:jc w:val="left"/>
        <w:rPr>
          <w:rFonts w:ascii="Lato" w:hAnsi="Lato"/>
          <w:szCs w:val="22"/>
        </w:rPr>
      </w:pPr>
      <w:r w:rsidRPr="00C4545D">
        <w:rPr>
          <w:rFonts w:ascii="Lato" w:hAnsi="Lato"/>
          <w:szCs w:val="22"/>
        </w:rPr>
        <w:t>obowiązek zapłaty należności celnych przywozowych w przypadku powstania na podstawie art. 79 UKC długu celnego w przywozie w wyniku niewypełnienia warunków lub obowiązków.</w:t>
      </w:r>
    </w:p>
    <w:p w14:paraId="3CDC9258" w14:textId="206C6E51" w:rsidR="002F0BD1" w:rsidRPr="00CC40C6" w:rsidRDefault="00CC40C6" w:rsidP="00F96EA3">
      <w:pPr>
        <w:pStyle w:val="Tekstpodstawowy2"/>
        <w:numPr>
          <w:ilvl w:val="0"/>
          <w:numId w:val="13"/>
        </w:numPr>
        <w:spacing w:before="120" w:after="120"/>
        <w:ind w:hanging="502"/>
        <w:jc w:val="left"/>
        <w:rPr>
          <w:rFonts w:ascii="Lato" w:hAnsi="Lato"/>
          <w:b/>
          <w:szCs w:val="22"/>
        </w:rPr>
      </w:pPr>
      <w:r w:rsidRPr="00CC40C6">
        <w:rPr>
          <w:rFonts w:ascii="Lato" w:hAnsi="Lato"/>
          <w:b/>
          <w:bCs/>
          <w:szCs w:val="22"/>
        </w:rPr>
        <w:t xml:space="preserve">Mając na uwadze, że wymagane jest uzyskanie pozwolenia organu celnego na przeniesienie praw i obowiązków osoby uprawnionej do korzystania z procedury – </w:t>
      </w:r>
      <w:r w:rsidRPr="00CC40C6">
        <w:rPr>
          <w:rFonts w:ascii="Lato" w:hAnsi="Lato"/>
          <w:szCs w:val="22"/>
        </w:rPr>
        <w:t>zwanego dalej</w:t>
      </w:r>
      <w:r w:rsidRPr="00CC40C6">
        <w:rPr>
          <w:rFonts w:ascii="Lato" w:hAnsi="Lato"/>
          <w:b/>
          <w:bCs/>
          <w:szCs w:val="22"/>
        </w:rPr>
        <w:t xml:space="preserve"> „pozwoleniem TORO” – zastosowanie mogą mieć dwa rozwiązania</w:t>
      </w:r>
      <w:r>
        <w:rPr>
          <w:rFonts w:ascii="Lato" w:hAnsi="Lato"/>
          <w:b/>
          <w:bCs/>
          <w:szCs w:val="22"/>
        </w:rPr>
        <w:t>:</w:t>
      </w:r>
    </w:p>
    <w:p w14:paraId="74E70738" w14:textId="39D56E9F" w:rsidR="002F0BD1" w:rsidRPr="00C4545D" w:rsidRDefault="002F0BD1" w:rsidP="00C4545D">
      <w:pPr>
        <w:pStyle w:val="Tekstpodstawowy2"/>
        <w:numPr>
          <w:ilvl w:val="0"/>
          <w:numId w:val="16"/>
        </w:numPr>
        <w:spacing w:before="120" w:after="120"/>
        <w:ind w:left="1134" w:hanging="567"/>
        <w:jc w:val="left"/>
        <w:rPr>
          <w:rFonts w:ascii="Lato" w:hAnsi="Lato"/>
          <w:szCs w:val="22"/>
        </w:rPr>
      </w:pPr>
      <w:r w:rsidRPr="00C4545D">
        <w:rPr>
          <w:rFonts w:ascii="Lato" w:hAnsi="Lato"/>
          <w:szCs w:val="22"/>
        </w:rPr>
        <w:t xml:space="preserve">przeniesienie praw i obowiązków od posiadacza pozwolenia </w:t>
      </w:r>
      <w:r w:rsidR="00CC40C6">
        <w:rPr>
          <w:rFonts w:ascii="Lato" w:hAnsi="Lato"/>
          <w:szCs w:val="22"/>
        </w:rPr>
        <w:t xml:space="preserve">na korzystanie z procedury końcowego przeznaczenia </w:t>
      </w:r>
      <w:r w:rsidRPr="00C4545D">
        <w:rPr>
          <w:rFonts w:ascii="Lato" w:hAnsi="Lato"/>
          <w:szCs w:val="22"/>
        </w:rPr>
        <w:t xml:space="preserve">(który ma </w:t>
      </w:r>
      <w:r w:rsidR="00946128" w:rsidRPr="00C4545D">
        <w:rPr>
          <w:rFonts w:ascii="Lato" w:hAnsi="Lato"/>
          <w:szCs w:val="22"/>
        </w:rPr>
        <w:t xml:space="preserve">również </w:t>
      </w:r>
      <w:r w:rsidRPr="00C4545D">
        <w:rPr>
          <w:rFonts w:ascii="Lato" w:hAnsi="Lato"/>
          <w:szCs w:val="22"/>
        </w:rPr>
        <w:t xml:space="preserve">pozwolenie TORO) do Przejmującego, który nie ma </w:t>
      </w:r>
      <w:r w:rsidR="00946128" w:rsidRPr="00C4545D">
        <w:rPr>
          <w:rFonts w:ascii="Lato" w:hAnsi="Lato"/>
          <w:szCs w:val="22"/>
        </w:rPr>
        <w:t>żadnego pozwolenia</w:t>
      </w:r>
      <w:r w:rsidR="00CC40C6" w:rsidRPr="00CC40C6">
        <w:rPr>
          <w:rFonts w:ascii="Lato" w:hAnsi="Lato"/>
          <w:b/>
          <w:szCs w:val="22"/>
        </w:rPr>
        <w:t xml:space="preserve"> </w:t>
      </w:r>
      <w:r w:rsidR="00CC40C6" w:rsidRPr="00CC40C6">
        <w:rPr>
          <w:rFonts w:ascii="Lato" w:hAnsi="Lato"/>
          <w:bCs/>
          <w:szCs w:val="22"/>
        </w:rPr>
        <w:t>– tzw.</w:t>
      </w:r>
      <w:r w:rsidR="00CC40C6">
        <w:rPr>
          <w:rFonts w:ascii="Lato" w:hAnsi="Lato"/>
          <w:b/>
          <w:szCs w:val="22"/>
        </w:rPr>
        <w:t xml:space="preserve"> </w:t>
      </w:r>
      <w:r w:rsidR="00CC40C6" w:rsidRPr="00C4545D">
        <w:rPr>
          <w:rFonts w:ascii="Lato" w:hAnsi="Lato"/>
          <w:b/>
          <w:szCs w:val="22"/>
        </w:rPr>
        <w:t>TORO-1</w:t>
      </w:r>
      <w:r w:rsidR="00946128" w:rsidRPr="00C4545D">
        <w:rPr>
          <w:rFonts w:ascii="Lato" w:hAnsi="Lato"/>
          <w:szCs w:val="22"/>
        </w:rPr>
        <w:t>,</w:t>
      </w:r>
    </w:p>
    <w:p w14:paraId="5E0CD399" w14:textId="77777777" w:rsidR="002F0BD1" w:rsidRPr="00C4545D" w:rsidRDefault="002F0BD1" w:rsidP="00C4545D">
      <w:pPr>
        <w:pStyle w:val="Tekstpodstawowy2"/>
        <w:spacing w:before="120" w:after="120"/>
        <w:ind w:left="360"/>
        <w:jc w:val="left"/>
        <w:rPr>
          <w:rFonts w:ascii="Lato" w:hAnsi="Lato"/>
          <w:szCs w:val="22"/>
        </w:rPr>
      </w:pPr>
      <w:r w:rsidRPr="00C4545D">
        <w:rPr>
          <w:rFonts w:ascii="Lato" w:hAnsi="Lato"/>
          <w:szCs w:val="22"/>
        </w:rPr>
        <w:t xml:space="preserve">albo </w:t>
      </w:r>
    </w:p>
    <w:p w14:paraId="2D1E6FEC" w14:textId="7586A145" w:rsidR="00194E8D" w:rsidRPr="00C4545D" w:rsidRDefault="002F0BD1" w:rsidP="00C4545D">
      <w:pPr>
        <w:pStyle w:val="Tekstpodstawowy2"/>
        <w:numPr>
          <w:ilvl w:val="0"/>
          <w:numId w:val="16"/>
        </w:numPr>
        <w:spacing w:before="120" w:after="120"/>
        <w:ind w:left="1134" w:hanging="567"/>
        <w:jc w:val="left"/>
        <w:rPr>
          <w:rFonts w:ascii="Lato" w:hAnsi="Lato"/>
          <w:szCs w:val="22"/>
        </w:rPr>
      </w:pPr>
      <w:r w:rsidRPr="00C4545D">
        <w:rPr>
          <w:rFonts w:ascii="Lato" w:hAnsi="Lato"/>
          <w:szCs w:val="22"/>
        </w:rPr>
        <w:t>przeniesienie praw i obow</w:t>
      </w:r>
      <w:r w:rsidR="00946128" w:rsidRPr="00C4545D">
        <w:rPr>
          <w:rFonts w:ascii="Lato" w:hAnsi="Lato"/>
          <w:szCs w:val="22"/>
        </w:rPr>
        <w:t>iązków od posiadacza pozwolenia</w:t>
      </w:r>
      <w:r w:rsidRPr="00C4545D">
        <w:rPr>
          <w:rFonts w:ascii="Lato" w:hAnsi="Lato"/>
          <w:szCs w:val="22"/>
        </w:rPr>
        <w:t xml:space="preserve"> </w:t>
      </w:r>
      <w:r w:rsidR="00CC40C6">
        <w:rPr>
          <w:rFonts w:ascii="Lato" w:hAnsi="Lato"/>
          <w:szCs w:val="22"/>
        </w:rPr>
        <w:t xml:space="preserve">na korzystanie z procedury końcowego przeznaczenia </w:t>
      </w:r>
      <w:r w:rsidR="00946128" w:rsidRPr="00C4545D">
        <w:rPr>
          <w:rFonts w:ascii="Lato" w:hAnsi="Lato"/>
          <w:szCs w:val="22"/>
        </w:rPr>
        <w:t>(</w:t>
      </w:r>
      <w:r w:rsidRPr="00C4545D">
        <w:rPr>
          <w:rFonts w:ascii="Lato" w:hAnsi="Lato"/>
          <w:szCs w:val="22"/>
        </w:rPr>
        <w:t xml:space="preserve">który ma </w:t>
      </w:r>
      <w:r w:rsidR="00946128" w:rsidRPr="00C4545D">
        <w:rPr>
          <w:rFonts w:ascii="Lato" w:hAnsi="Lato"/>
          <w:szCs w:val="22"/>
        </w:rPr>
        <w:t xml:space="preserve">również </w:t>
      </w:r>
      <w:r w:rsidRPr="00C4545D">
        <w:rPr>
          <w:rFonts w:ascii="Lato" w:hAnsi="Lato"/>
          <w:szCs w:val="22"/>
        </w:rPr>
        <w:t>pozwolenie TORO) do Przejmującego, który ma pozwolenie TORO</w:t>
      </w:r>
      <w:r w:rsidR="00CC40C6" w:rsidRPr="00CC40C6">
        <w:rPr>
          <w:rFonts w:ascii="Lato" w:hAnsi="Lato"/>
          <w:b/>
          <w:szCs w:val="22"/>
        </w:rPr>
        <w:t xml:space="preserve"> </w:t>
      </w:r>
      <w:r w:rsidR="00CC40C6" w:rsidRPr="00CC40C6">
        <w:rPr>
          <w:rFonts w:ascii="Lato" w:hAnsi="Lato"/>
          <w:bCs/>
          <w:szCs w:val="22"/>
        </w:rPr>
        <w:t>– tzw.</w:t>
      </w:r>
      <w:r w:rsidR="00CC40C6">
        <w:rPr>
          <w:rFonts w:ascii="Lato" w:hAnsi="Lato"/>
          <w:b/>
          <w:szCs w:val="22"/>
        </w:rPr>
        <w:t xml:space="preserve"> </w:t>
      </w:r>
      <w:r w:rsidR="00CC40C6" w:rsidRPr="00C4545D">
        <w:rPr>
          <w:rFonts w:ascii="Lato" w:hAnsi="Lato"/>
          <w:b/>
          <w:szCs w:val="22"/>
        </w:rPr>
        <w:t>TORO-</w:t>
      </w:r>
      <w:r w:rsidR="00CC40C6">
        <w:rPr>
          <w:rFonts w:ascii="Lato" w:hAnsi="Lato"/>
          <w:b/>
          <w:szCs w:val="22"/>
        </w:rPr>
        <w:t>2</w:t>
      </w:r>
      <w:r w:rsidRPr="00C4545D">
        <w:rPr>
          <w:rFonts w:ascii="Lato" w:hAnsi="Lato"/>
          <w:szCs w:val="22"/>
        </w:rPr>
        <w:t>.</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7"/>
        <w:gridCol w:w="4292"/>
      </w:tblGrid>
      <w:tr w:rsidR="00194E8D" w:rsidRPr="00C4545D" w14:paraId="530407C4" w14:textId="77777777" w:rsidTr="00D45B51">
        <w:tc>
          <w:tcPr>
            <w:tcW w:w="4287" w:type="dxa"/>
            <w:shd w:val="clear" w:color="auto" w:fill="auto"/>
          </w:tcPr>
          <w:p w14:paraId="03B87453" w14:textId="77777777" w:rsidR="00194E8D" w:rsidRPr="00C4545D" w:rsidRDefault="00194E8D" w:rsidP="00C4545D">
            <w:pPr>
              <w:spacing w:before="120" w:after="120"/>
              <w:rPr>
                <w:rFonts w:ascii="Lato" w:hAnsi="Lato"/>
                <w:b/>
                <w:szCs w:val="22"/>
              </w:rPr>
            </w:pPr>
            <w:r w:rsidRPr="00C4545D">
              <w:rPr>
                <w:rFonts w:ascii="Lato" w:hAnsi="Lato"/>
                <w:b/>
                <w:szCs w:val="22"/>
              </w:rPr>
              <w:t>TORO-1</w:t>
            </w:r>
          </w:p>
        </w:tc>
        <w:tc>
          <w:tcPr>
            <w:tcW w:w="4292" w:type="dxa"/>
            <w:shd w:val="clear" w:color="auto" w:fill="auto"/>
          </w:tcPr>
          <w:p w14:paraId="5653417C" w14:textId="77777777" w:rsidR="00194E8D" w:rsidRPr="00C4545D" w:rsidRDefault="00194E8D" w:rsidP="00C4545D">
            <w:pPr>
              <w:spacing w:before="120" w:after="120"/>
              <w:rPr>
                <w:rFonts w:ascii="Lato" w:hAnsi="Lato"/>
                <w:b/>
                <w:szCs w:val="22"/>
              </w:rPr>
            </w:pPr>
            <w:r w:rsidRPr="00C4545D">
              <w:rPr>
                <w:rFonts w:ascii="Lato" w:hAnsi="Lato"/>
                <w:b/>
                <w:szCs w:val="22"/>
              </w:rPr>
              <w:t>TORO-2</w:t>
            </w:r>
          </w:p>
        </w:tc>
      </w:tr>
      <w:tr w:rsidR="00194E8D" w:rsidRPr="00C4545D" w14:paraId="593E93E1" w14:textId="77777777" w:rsidTr="00D45B51">
        <w:tc>
          <w:tcPr>
            <w:tcW w:w="4287" w:type="dxa"/>
            <w:shd w:val="clear" w:color="auto" w:fill="auto"/>
          </w:tcPr>
          <w:p w14:paraId="5CAABC40" w14:textId="3098F04F" w:rsidR="00194E8D" w:rsidRPr="00C4545D" w:rsidRDefault="00194E8D" w:rsidP="00C4545D">
            <w:pPr>
              <w:spacing w:before="120" w:after="120"/>
              <w:rPr>
                <w:rFonts w:ascii="Lato" w:hAnsi="Lato"/>
                <w:szCs w:val="22"/>
              </w:rPr>
            </w:pPr>
            <w:r w:rsidRPr="00C4545D">
              <w:rPr>
                <w:rFonts w:ascii="Lato" w:hAnsi="Lato"/>
                <w:szCs w:val="22"/>
              </w:rPr>
              <w:t>Posiadacz pozwolenia na korzystanie z procedury końcowego przeznaczenia musi mieć dwa pozwolenia: jedno na korzystanie z procedury końcowego przeznaczenia i drugie na przeniesienie praw i obowiązków</w:t>
            </w:r>
            <w:r w:rsidR="00CD4998">
              <w:rPr>
                <w:rFonts w:ascii="Lato" w:hAnsi="Lato"/>
                <w:szCs w:val="22"/>
              </w:rPr>
              <w:t>.</w:t>
            </w:r>
          </w:p>
        </w:tc>
        <w:tc>
          <w:tcPr>
            <w:tcW w:w="4292" w:type="dxa"/>
            <w:shd w:val="clear" w:color="auto" w:fill="auto"/>
          </w:tcPr>
          <w:p w14:paraId="1D04B91F" w14:textId="48E5CEB9" w:rsidR="00194E8D" w:rsidRPr="00C4545D" w:rsidRDefault="00194E8D" w:rsidP="00C4545D">
            <w:pPr>
              <w:spacing w:before="120" w:after="120"/>
              <w:rPr>
                <w:rFonts w:ascii="Lato" w:hAnsi="Lato"/>
                <w:strike/>
                <w:szCs w:val="22"/>
              </w:rPr>
            </w:pPr>
            <w:r w:rsidRPr="00C4545D">
              <w:rPr>
                <w:rFonts w:ascii="Lato" w:hAnsi="Lato"/>
                <w:szCs w:val="22"/>
                <w:u w:val="single"/>
              </w:rPr>
              <w:t>Posiadacz pozwolenia na korzystanie z procedury końcowego przeznaczenia musi mieć</w:t>
            </w:r>
            <w:r w:rsidRPr="00C4545D">
              <w:rPr>
                <w:rFonts w:ascii="Lato" w:hAnsi="Lato"/>
                <w:color w:val="0000FF"/>
                <w:szCs w:val="22"/>
                <w:u w:val="single"/>
              </w:rPr>
              <w:t xml:space="preserve"> </w:t>
            </w:r>
            <w:r w:rsidRPr="00C4545D">
              <w:rPr>
                <w:rFonts w:ascii="Lato" w:hAnsi="Lato"/>
                <w:szCs w:val="22"/>
                <w:u w:val="single"/>
              </w:rPr>
              <w:t>dwa pozwolenia</w:t>
            </w:r>
            <w:r w:rsidRPr="00C4545D">
              <w:rPr>
                <w:rFonts w:ascii="Lato" w:hAnsi="Lato"/>
                <w:szCs w:val="22"/>
              </w:rPr>
              <w:t>:</w:t>
            </w:r>
            <w:r w:rsidRPr="00C4545D">
              <w:rPr>
                <w:rFonts w:ascii="Lato" w:hAnsi="Lato"/>
                <w:color w:val="0000FF"/>
                <w:szCs w:val="22"/>
              </w:rPr>
              <w:t xml:space="preserve"> </w:t>
            </w:r>
            <w:r w:rsidRPr="00C4545D">
              <w:rPr>
                <w:rFonts w:ascii="Lato" w:hAnsi="Lato"/>
                <w:szCs w:val="22"/>
              </w:rPr>
              <w:t>pozwolenie na korzystanie z procedury końcowego przeznaczenia i pozwolenie na przeniesienie praw i obowiązków</w:t>
            </w:r>
            <w:r w:rsidR="00CD4998">
              <w:rPr>
                <w:rFonts w:ascii="Lato" w:hAnsi="Lato"/>
                <w:szCs w:val="22"/>
              </w:rPr>
              <w:t>.</w:t>
            </w:r>
          </w:p>
        </w:tc>
      </w:tr>
      <w:tr w:rsidR="00194E8D" w:rsidRPr="00C4545D" w14:paraId="305A58EB" w14:textId="77777777" w:rsidTr="00D45B51">
        <w:tc>
          <w:tcPr>
            <w:tcW w:w="4287" w:type="dxa"/>
            <w:shd w:val="clear" w:color="auto" w:fill="auto"/>
          </w:tcPr>
          <w:p w14:paraId="50BC12BA" w14:textId="22141705" w:rsidR="00194E8D" w:rsidRPr="00C4545D" w:rsidRDefault="00194E8D" w:rsidP="00C4545D">
            <w:pPr>
              <w:spacing w:before="120" w:after="120"/>
              <w:rPr>
                <w:rFonts w:ascii="Lato" w:hAnsi="Lato"/>
                <w:szCs w:val="22"/>
              </w:rPr>
            </w:pPr>
            <w:r w:rsidRPr="00C4545D">
              <w:rPr>
                <w:rFonts w:ascii="Lato" w:hAnsi="Lato"/>
                <w:szCs w:val="22"/>
              </w:rPr>
              <w:t>Pozwolenie na przeniesienie praw i obowiązków powinno być zawarte w pozwoleniu na korzystanie z procedury końcowego przeznaczenia</w:t>
            </w:r>
            <w:r w:rsidR="00CD4998">
              <w:rPr>
                <w:sz w:val="24"/>
                <w:lang w:eastAsia="pl-PL"/>
              </w:rPr>
              <w:t xml:space="preserve"> </w:t>
            </w:r>
            <w:r w:rsidR="00CD4998" w:rsidRPr="00CD4998">
              <w:rPr>
                <w:rFonts w:ascii="Lato" w:hAnsi="Lato"/>
                <w:szCs w:val="22"/>
                <w:lang w:eastAsia="pl-PL"/>
              </w:rPr>
              <w:t xml:space="preserve">(tj. powinno być uzyskane na etapie wnioskowania </w:t>
            </w:r>
            <w:r w:rsidR="00CD4998" w:rsidRPr="00CD4998">
              <w:rPr>
                <w:rFonts w:ascii="Lato" w:hAnsi="Lato"/>
                <w:szCs w:val="22"/>
                <w:lang w:eastAsia="pl-PL"/>
              </w:rPr>
              <w:br/>
              <w:t>o udzielenie pozwolenia na korzystanie z procedury końcowego przeznaczenia albo na etapie późniejszym w ramach zmiany udzielonego pozwolenia).</w:t>
            </w:r>
          </w:p>
        </w:tc>
        <w:tc>
          <w:tcPr>
            <w:tcW w:w="4292" w:type="dxa"/>
            <w:shd w:val="clear" w:color="auto" w:fill="auto"/>
          </w:tcPr>
          <w:p w14:paraId="5A274A4D" w14:textId="5C9F92A1" w:rsidR="00194E8D" w:rsidRPr="00C4545D" w:rsidRDefault="00194E8D" w:rsidP="00C4545D">
            <w:pPr>
              <w:spacing w:before="120" w:after="120"/>
              <w:rPr>
                <w:rFonts w:ascii="Lato" w:hAnsi="Lato"/>
                <w:szCs w:val="22"/>
              </w:rPr>
            </w:pPr>
            <w:r w:rsidRPr="00C4545D">
              <w:rPr>
                <w:rFonts w:ascii="Lato" w:hAnsi="Lato"/>
                <w:szCs w:val="22"/>
              </w:rPr>
              <w:t>Pozwolenie na przeniesienie praw i obowiązków powinno być zawarte w pozwoleniu na korzystanie z procedury końcowego przeznaczenia</w:t>
            </w:r>
            <w:r w:rsidR="00CD4998">
              <w:rPr>
                <w:sz w:val="24"/>
                <w:lang w:eastAsia="pl-PL"/>
              </w:rPr>
              <w:t xml:space="preserve"> </w:t>
            </w:r>
            <w:r w:rsidR="00CD4998" w:rsidRPr="00CD4998">
              <w:rPr>
                <w:rFonts w:ascii="Lato" w:hAnsi="Lato"/>
                <w:szCs w:val="22"/>
                <w:lang w:eastAsia="pl-PL"/>
              </w:rPr>
              <w:t xml:space="preserve">(tj. powinno być uzyskane na etapie wnioskowania </w:t>
            </w:r>
            <w:r w:rsidR="00CD4998" w:rsidRPr="00CD4998">
              <w:rPr>
                <w:rFonts w:ascii="Lato" w:hAnsi="Lato"/>
                <w:szCs w:val="22"/>
                <w:lang w:eastAsia="pl-PL"/>
              </w:rPr>
              <w:br/>
              <w:t>o udzielenie pozwolenia na korzystanie z procedury końcowego przeznaczenia albo na etapie późniejszym w ramach zmiany udzielonego pozwolenia)</w:t>
            </w:r>
            <w:r w:rsidR="00CD4998">
              <w:rPr>
                <w:rFonts w:ascii="Lato" w:hAnsi="Lato"/>
                <w:szCs w:val="22"/>
                <w:lang w:eastAsia="pl-PL"/>
              </w:rPr>
              <w:t>.</w:t>
            </w:r>
          </w:p>
        </w:tc>
      </w:tr>
      <w:tr w:rsidR="00194E8D" w:rsidRPr="00C4545D" w14:paraId="61EEFC5E" w14:textId="77777777" w:rsidTr="00D45B51">
        <w:tc>
          <w:tcPr>
            <w:tcW w:w="4287" w:type="dxa"/>
            <w:shd w:val="clear" w:color="auto" w:fill="auto"/>
          </w:tcPr>
          <w:p w14:paraId="15120D42" w14:textId="70C90A8B" w:rsidR="00194E8D" w:rsidRPr="00C4545D" w:rsidRDefault="00194E8D" w:rsidP="00C4545D">
            <w:pPr>
              <w:spacing w:before="120" w:after="120"/>
              <w:rPr>
                <w:rFonts w:ascii="Lato" w:hAnsi="Lato"/>
                <w:szCs w:val="22"/>
              </w:rPr>
            </w:pPr>
            <w:r w:rsidRPr="00C4545D">
              <w:rPr>
                <w:rFonts w:ascii="Lato" w:hAnsi="Lato"/>
                <w:szCs w:val="22"/>
              </w:rPr>
              <w:t>Przejmujący „nie ma żadnego pozwolenia”, bowiem nie on występuje z wnioskiem o przeniesienie praw i obowiązków, lecz posiadacz pozwolenia na korzystanie z procedury końcowego przeznaczenia, a zatem Przejmujący nie posiada „własnej” decyzji w sprawie przeniesienia praw i obowiązków</w:t>
            </w:r>
            <w:r w:rsidR="00CD4998">
              <w:rPr>
                <w:rFonts w:ascii="Lato" w:hAnsi="Lato"/>
                <w:szCs w:val="22"/>
              </w:rPr>
              <w:t>.</w:t>
            </w:r>
          </w:p>
        </w:tc>
        <w:tc>
          <w:tcPr>
            <w:tcW w:w="4292" w:type="dxa"/>
            <w:shd w:val="clear" w:color="auto" w:fill="auto"/>
          </w:tcPr>
          <w:p w14:paraId="7093674E" w14:textId="7599D7E8" w:rsidR="00194E8D" w:rsidRPr="00C4545D" w:rsidRDefault="00194E8D" w:rsidP="00C4545D">
            <w:pPr>
              <w:spacing w:before="120" w:after="120"/>
              <w:rPr>
                <w:rFonts w:ascii="Lato" w:hAnsi="Lato"/>
                <w:szCs w:val="22"/>
              </w:rPr>
            </w:pPr>
            <w:r w:rsidRPr="00C4545D">
              <w:rPr>
                <w:rFonts w:ascii="Lato" w:hAnsi="Lato"/>
                <w:szCs w:val="22"/>
                <w:u w:val="single"/>
              </w:rPr>
              <w:t>Przejmujący,</w:t>
            </w:r>
            <w:r w:rsidRPr="00C4545D">
              <w:rPr>
                <w:rFonts w:ascii="Lato" w:hAnsi="Lato"/>
                <w:szCs w:val="22"/>
              </w:rPr>
              <w:t xml:space="preserve"> jako osoba ubiegająca się o przeniesienie praw i obowiązków, </w:t>
            </w:r>
            <w:r w:rsidRPr="00C4545D">
              <w:rPr>
                <w:rFonts w:ascii="Lato" w:hAnsi="Lato"/>
                <w:szCs w:val="22"/>
                <w:u w:val="single"/>
              </w:rPr>
              <w:t>musi posiadać swoje własne pozwolenie na przeniesienie praw i obowiązków (czyli Pozwolenie TORO</w:t>
            </w:r>
            <w:r w:rsidR="00DF1E8A" w:rsidRPr="00C4545D">
              <w:rPr>
                <w:rStyle w:val="Odwoanieprzypisudolnego"/>
                <w:rFonts w:ascii="Lato" w:hAnsi="Lato"/>
                <w:szCs w:val="22"/>
                <w:u w:val="single"/>
              </w:rPr>
              <w:footnoteReference w:id="1"/>
            </w:r>
            <w:r w:rsidRPr="00C4545D">
              <w:rPr>
                <w:rFonts w:ascii="Lato" w:hAnsi="Lato"/>
                <w:szCs w:val="22"/>
                <w:u w:val="single"/>
              </w:rPr>
              <w:t>)</w:t>
            </w:r>
            <w:r w:rsidRPr="00C4545D">
              <w:rPr>
                <w:rFonts w:ascii="Lato" w:hAnsi="Lato"/>
                <w:szCs w:val="22"/>
              </w:rPr>
              <w:t>, o które występuje odrębnym wnioskiem (wnios</w:t>
            </w:r>
            <w:r w:rsidR="00A33AC8">
              <w:rPr>
                <w:rFonts w:ascii="Lato" w:hAnsi="Lato"/>
                <w:szCs w:val="22"/>
              </w:rPr>
              <w:t>kiem</w:t>
            </w:r>
            <w:r w:rsidRPr="00C4545D">
              <w:rPr>
                <w:rFonts w:ascii="Lato" w:hAnsi="Lato"/>
                <w:szCs w:val="22"/>
              </w:rPr>
              <w:t xml:space="preserve"> o udzielenie Pozwolenia TORO</w:t>
            </w:r>
            <w:r w:rsidR="00DF1E8A" w:rsidRPr="00C4545D">
              <w:rPr>
                <w:rStyle w:val="Odwoanieprzypisudolnego"/>
                <w:rFonts w:ascii="Lato" w:hAnsi="Lato"/>
                <w:szCs w:val="22"/>
              </w:rPr>
              <w:footnoteReference w:id="2"/>
            </w:r>
            <w:r w:rsidRPr="00C4545D">
              <w:rPr>
                <w:rFonts w:ascii="Lato" w:hAnsi="Lato"/>
                <w:szCs w:val="22"/>
              </w:rPr>
              <w:t xml:space="preserve">), do naczelnika urzędu celno-skarbowego właściwego według miejsca, w którym są prowadzone lub dostępne główne księgi rachunkowe </w:t>
            </w:r>
            <w:r w:rsidR="00A33AC8">
              <w:rPr>
                <w:rFonts w:ascii="Lato" w:hAnsi="Lato"/>
                <w:szCs w:val="22"/>
              </w:rPr>
              <w:t>P</w:t>
            </w:r>
            <w:r w:rsidRPr="00C4545D">
              <w:rPr>
                <w:rFonts w:ascii="Lato" w:hAnsi="Lato"/>
                <w:szCs w:val="22"/>
              </w:rPr>
              <w:t xml:space="preserve">rzejmującego na potrzeby celne i będzie wykonywana przynajmniej część czynności dotyczących towarów lub towary osiągną końcowe przeznaczenie. W przypadku gdy właściwy organ celny nie może zostać określony zgodnie z powyższą zasadą, to jest to organ celny właściwy według miejsca, w którym są prowadzone lub dostępne główne księgi rachunkowe </w:t>
            </w:r>
            <w:r w:rsidR="00A33AC8">
              <w:rPr>
                <w:rFonts w:ascii="Lato" w:hAnsi="Lato"/>
                <w:szCs w:val="22"/>
              </w:rPr>
              <w:t>P</w:t>
            </w:r>
            <w:r w:rsidRPr="00C4545D">
              <w:rPr>
                <w:rFonts w:ascii="Lato" w:hAnsi="Lato"/>
                <w:szCs w:val="22"/>
              </w:rPr>
              <w:t>rzejmującego na potrzeby celne.</w:t>
            </w:r>
          </w:p>
        </w:tc>
      </w:tr>
      <w:tr w:rsidR="00194E8D" w:rsidRPr="00C4545D" w14:paraId="4A5EAAD6" w14:textId="77777777" w:rsidTr="00D45B51">
        <w:tc>
          <w:tcPr>
            <w:tcW w:w="4287" w:type="dxa"/>
            <w:shd w:val="clear" w:color="auto" w:fill="auto"/>
          </w:tcPr>
          <w:p w14:paraId="285484AE" w14:textId="6BA67173" w:rsidR="00194E8D" w:rsidRPr="00C4545D" w:rsidRDefault="00194E8D" w:rsidP="00C4545D">
            <w:pPr>
              <w:spacing w:before="120" w:after="120"/>
              <w:rPr>
                <w:rFonts w:ascii="Lato" w:hAnsi="Lato"/>
                <w:szCs w:val="22"/>
              </w:rPr>
            </w:pPr>
            <w:r w:rsidRPr="00C4545D">
              <w:rPr>
                <w:rFonts w:ascii="Lato" w:hAnsi="Lato"/>
                <w:b/>
                <w:szCs w:val="22"/>
              </w:rPr>
              <w:t>Może być stosowane</w:t>
            </w:r>
            <w:r w:rsidRPr="00C4545D">
              <w:rPr>
                <w:rFonts w:ascii="Lato" w:hAnsi="Lato"/>
                <w:szCs w:val="22"/>
              </w:rPr>
              <w:t xml:space="preserve"> zarówno w </w:t>
            </w:r>
            <w:r w:rsidRPr="00C4545D">
              <w:rPr>
                <w:rFonts w:ascii="Lato" w:hAnsi="Lato"/>
                <w:b/>
                <w:szCs w:val="22"/>
              </w:rPr>
              <w:t>przypadku częściowego, jak i całkowitego</w:t>
            </w:r>
            <w:r w:rsidRPr="00C4545D">
              <w:rPr>
                <w:rFonts w:ascii="Lato" w:hAnsi="Lato"/>
                <w:szCs w:val="22"/>
              </w:rPr>
              <w:t xml:space="preserve"> </w:t>
            </w:r>
            <w:r w:rsidRPr="00C4545D">
              <w:rPr>
                <w:rFonts w:ascii="Lato" w:hAnsi="Lato"/>
                <w:b/>
                <w:szCs w:val="22"/>
              </w:rPr>
              <w:t>przeniesienia</w:t>
            </w:r>
            <w:r w:rsidRPr="00C4545D">
              <w:rPr>
                <w:rFonts w:ascii="Lato" w:hAnsi="Lato"/>
                <w:szCs w:val="22"/>
              </w:rPr>
              <w:t xml:space="preserve"> praw i obowiązków osoby uprawnionej do korzystania z procedury</w:t>
            </w:r>
            <w:r w:rsidR="00CD4998">
              <w:rPr>
                <w:rFonts w:ascii="Lato" w:hAnsi="Lato"/>
                <w:szCs w:val="22"/>
              </w:rPr>
              <w:t>.</w:t>
            </w:r>
          </w:p>
        </w:tc>
        <w:tc>
          <w:tcPr>
            <w:tcW w:w="4292" w:type="dxa"/>
            <w:shd w:val="clear" w:color="auto" w:fill="auto"/>
          </w:tcPr>
          <w:p w14:paraId="4D72DB94" w14:textId="77777777" w:rsidR="00194E8D" w:rsidRPr="00C4545D" w:rsidRDefault="00194E8D" w:rsidP="00C4545D">
            <w:pPr>
              <w:spacing w:before="120" w:after="120"/>
              <w:rPr>
                <w:rFonts w:ascii="Lato" w:hAnsi="Lato"/>
                <w:szCs w:val="22"/>
              </w:rPr>
            </w:pPr>
            <w:r w:rsidRPr="00C4545D">
              <w:rPr>
                <w:rFonts w:ascii="Lato" w:hAnsi="Lato"/>
                <w:szCs w:val="22"/>
              </w:rPr>
              <w:t xml:space="preserve">Może być stosowane </w:t>
            </w:r>
            <w:r w:rsidRPr="00C4545D">
              <w:rPr>
                <w:rFonts w:ascii="Lato" w:hAnsi="Lato"/>
                <w:b/>
                <w:szCs w:val="22"/>
              </w:rPr>
              <w:t>tylko w przypadkach</w:t>
            </w:r>
            <w:r w:rsidRPr="00C4545D">
              <w:rPr>
                <w:rFonts w:ascii="Lato" w:hAnsi="Lato"/>
                <w:szCs w:val="22"/>
              </w:rPr>
              <w:t xml:space="preserve">, w których prawa i obowiązki są </w:t>
            </w:r>
            <w:r w:rsidRPr="00C4545D">
              <w:rPr>
                <w:rFonts w:ascii="Lato" w:hAnsi="Lato"/>
                <w:b/>
                <w:szCs w:val="22"/>
              </w:rPr>
              <w:t>przenoszone w całości</w:t>
            </w:r>
            <w:r w:rsidRPr="00C4545D">
              <w:rPr>
                <w:rFonts w:ascii="Lato" w:hAnsi="Lato"/>
                <w:szCs w:val="22"/>
              </w:rPr>
              <w:t>. Nie ma zastosowania do przypadków, w których tylko część praw i obowiązków miałaby być przenoszona.</w:t>
            </w:r>
          </w:p>
        </w:tc>
      </w:tr>
      <w:tr w:rsidR="00194E8D" w:rsidRPr="00C4545D" w14:paraId="0FECDB61" w14:textId="77777777" w:rsidTr="00D45B51">
        <w:tc>
          <w:tcPr>
            <w:tcW w:w="4287" w:type="dxa"/>
            <w:shd w:val="clear" w:color="auto" w:fill="auto"/>
          </w:tcPr>
          <w:p w14:paraId="2CCCA710" w14:textId="6B5B4BD3" w:rsidR="00194E8D" w:rsidRPr="00C4545D" w:rsidRDefault="00194E8D" w:rsidP="00C4545D">
            <w:pPr>
              <w:spacing w:before="120" w:after="120"/>
              <w:rPr>
                <w:rFonts w:ascii="Lato" w:hAnsi="Lato"/>
                <w:szCs w:val="22"/>
              </w:rPr>
            </w:pPr>
            <w:r w:rsidRPr="00C4545D">
              <w:rPr>
                <w:rFonts w:ascii="Lato" w:hAnsi="Lato"/>
                <w:szCs w:val="22"/>
              </w:rPr>
              <w:t>Zabezpieczenie złożone przez posiadacza pozwolenia na korzystanie z procedury końcowego przeznaczenia pozostaje ważne, chociaż towary mogą być fizycznie w posiadaniu Przejmującego</w:t>
            </w:r>
            <w:r w:rsidR="00CD4998">
              <w:rPr>
                <w:rFonts w:ascii="Lato" w:hAnsi="Lato"/>
                <w:szCs w:val="22"/>
              </w:rPr>
              <w:t>.</w:t>
            </w:r>
          </w:p>
        </w:tc>
        <w:tc>
          <w:tcPr>
            <w:tcW w:w="4292" w:type="dxa"/>
            <w:shd w:val="clear" w:color="auto" w:fill="auto"/>
          </w:tcPr>
          <w:p w14:paraId="4231EA0D" w14:textId="783273F3" w:rsidR="00194E8D" w:rsidRPr="00C4545D" w:rsidRDefault="00194E8D" w:rsidP="00C4545D">
            <w:pPr>
              <w:spacing w:before="120" w:after="120"/>
              <w:rPr>
                <w:rFonts w:ascii="Lato" w:hAnsi="Lato"/>
                <w:szCs w:val="22"/>
              </w:rPr>
            </w:pPr>
            <w:r w:rsidRPr="00C4545D">
              <w:rPr>
                <w:rFonts w:ascii="Lato" w:hAnsi="Lato"/>
                <w:szCs w:val="22"/>
              </w:rPr>
              <w:t>Przejmujący musi złożyć zabezpieczenie (</w:t>
            </w:r>
            <w:r w:rsidRPr="005D7518">
              <w:rPr>
                <w:rFonts w:ascii="Lato" w:hAnsi="Lato"/>
                <w:b/>
                <w:bCs/>
                <w:szCs w:val="22"/>
              </w:rPr>
              <w:t>rekomendowane jest zabezpieczenie generalne</w:t>
            </w:r>
            <w:r w:rsidRPr="00C4545D">
              <w:rPr>
                <w:rFonts w:ascii="Lato" w:hAnsi="Lato"/>
                <w:szCs w:val="22"/>
              </w:rPr>
              <w:t>), które będzie użyte w chwili przeniesienia praw i obowiązków</w:t>
            </w:r>
            <w:r w:rsidR="008D4CC3">
              <w:rPr>
                <w:rFonts w:ascii="Lato" w:hAnsi="Lato"/>
                <w:szCs w:val="22"/>
              </w:rPr>
              <w:t>.</w:t>
            </w:r>
          </w:p>
        </w:tc>
      </w:tr>
      <w:tr w:rsidR="00194E8D" w:rsidRPr="00C4545D" w14:paraId="5BD75716" w14:textId="77777777" w:rsidTr="00D45B51">
        <w:tc>
          <w:tcPr>
            <w:tcW w:w="4287" w:type="dxa"/>
            <w:shd w:val="clear" w:color="auto" w:fill="auto"/>
          </w:tcPr>
          <w:p w14:paraId="0CA8C5E0" w14:textId="6836D86B" w:rsidR="00194E8D" w:rsidRPr="00C4545D" w:rsidRDefault="00194E8D" w:rsidP="00C4545D">
            <w:pPr>
              <w:spacing w:before="120" w:after="120"/>
              <w:rPr>
                <w:rFonts w:ascii="Lato" w:hAnsi="Lato"/>
                <w:szCs w:val="22"/>
              </w:rPr>
            </w:pPr>
            <w:r w:rsidRPr="00C4545D">
              <w:rPr>
                <w:rFonts w:ascii="Lato" w:hAnsi="Lato"/>
                <w:szCs w:val="22"/>
              </w:rPr>
              <w:t>Przejmujący powinien przekazać Przekazującemu informacje odnośnie zamknięcia procedury. Okres, w którym takie informacje muszą być przekazane musi być ustalony przez właściwy organ celny z uwzględnieniem faktu, że rozliczenie zamknięcia musi być przedstawione do kontrolnego urzędu celnego w ciągu 30 dni od upływu terminu zamknięcia procedury.</w:t>
            </w:r>
            <w:r w:rsidR="00F010D5">
              <w:rPr>
                <w:rFonts w:ascii="Lato" w:hAnsi="Lato"/>
                <w:szCs w:val="22"/>
              </w:rPr>
              <w:t xml:space="preserve"> </w:t>
            </w:r>
          </w:p>
        </w:tc>
        <w:tc>
          <w:tcPr>
            <w:tcW w:w="4292" w:type="dxa"/>
            <w:shd w:val="clear" w:color="auto" w:fill="auto"/>
          </w:tcPr>
          <w:p w14:paraId="41BBC73D" w14:textId="29FCCACE" w:rsidR="00194E8D" w:rsidRPr="00C4545D" w:rsidRDefault="00194E8D" w:rsidP="00C4545D">
            <w:pPr>
              <w:spacing w:before="120" w:after="120"/>
              <w:rPr>
                <w:rFonts w:ascii="Lato" w:hAnsi="Lato"/>
                <w:szCs w:val="22"/>
              </w:rPr>
            </w:pPr>
            <w:r w:rsidRPr="00C4545D">
              <w:rPr>
                <w:rFonts w:ascii="Lato" w:hAnsi="Lato"/>
                <w:szCs w:val="22"/>
              </w:rPr>
              <w:t xml:space="preserve">Przejmujący nie musi przekazywać informacji o zamknięciu procedury Przekazującemu, ale musi je przekazać swojemu kontrolnemu urzędowi celnemu. Przejmujący powinien przekazać informacje o zamknięciu procedury lub o kolejnym TORO do </w:t>
            </w:r>
            <w:r w:rsidR="00A45487">
              <w:rPr>
                <w:rFonts w:ascii="Lato" w:hAnsi="Lato"/>
                <w:szCs w:val="22"/>
              </w:rPr>
              <w:t xml:space="preserve">swojego </w:t>
            </w:r>
            <w:r w:rsidRPr="00C4545D">
              <w:rPr>
                <w:rFonts w:ascii="Lato" w:hAnsi="Lato"/>
                <w:szCs w:val="22"/>
              </w:rPr>
              <w:t>kontrolnego urzędu celnego w ciągu 30 dni od upływu terminu zamknięcia procedury.</w:t>
            </w:r>
          </w:p>
        </w:tc>
      </w:tr>
      <w:tr w:rsidR="00CD4998" w:rsidRPr="00C4545D" w14:paraId="2038FBAD" w14:textId="77777777" w:rsidTr="00D45B51">
        <w:tc>
          <w:tcPr>
            <w:tcW w:w="4287" w:type="dxa"/>
            <w:shd w:val="clear" w:color="auto" w:fill="auto"/>
          </w:tcPr>
          <w:p w14:paraId="558BB8E7" w14:textId="3CB995CD" w:rsidR="00CD4998" w:rsidRPr="00CD4998" w:rsidRDefault="00CD4998" w:rsidP="00C4545D">
            <w:pPr>
              <w:spacing w:before="120" w:after="120"/>
              <w:rPr>
                <w:rFonts w:ascii="Lato" w:hAnsi="Lato"/>
                <w:szCs w:val="22"/>
              </w:rPr>
            </w:pPr>
            <w:r>
              <w:rPr>
                <w:rFonts w:ascii="Lato" w:hAnsi="Lato"/>
                <w:szCs w:val="22"/>
              </w:rPr>
              <w:t>P</w:t>
            </w:r>
            <w:r w:rsidRPr="00CD4998">
              <w:rPr>
                <w:rFonts w:ascii="Lato" w:hAnsi="Lato"/>
                <w:szCs w:val="22"/>
              </w:rPr>
              <w:t>osiadacz pozwolenia na korzystanie z procedury końcowego przeznaczenia będąc przekazującym pozostaje odpowiedzialny za realizację procedury, do czasu aż procedura nie ulegnie zamknięciu i rozliczeniu zgodnie z art. 215 UKC i art. 254 UKC oraz art. 175 ust. 1 UKC-RD</w:t>
            </w:r>
            <w:r>
              <w:rPr>
                <w:rFonts w:ascii="Lato" w:hAnsi="Lato"/>
                <w:szCs w:val="22"/>
              </w:rPr>
              <w:t>.</w:t>
            </w:r>
            <w:r>
              <w:rPr>
                <w:sz w:val="24"/>
              </w:rPr>
              <w:t xml:space="preserve"> </w:t>
            </w:r>
            <w:r w:rsidRPr="00CD4998">
              <w:rPr>
                <w:rFonts w:ascii="Lato" w:hAnsi="Lato"/>
                <w:szCs w:val="22"/>
              </w:rPr>
              <w:t>Przejmujący nie ma obowiązku dostarczenia organom celnym informacji na temat zamknięcia procedury (bowiem obowiązek ten spoczywa na posiadaczu pozwolenia na końcowe przeznaczenie).</w:t>
            </w:r>
          </w:p>
        </w:tc>
        <w:tc>
          <w:tcPr>
            <w:tcW w:w="4292" w:type="dxa"/>
            <w:shd w:val="clear" w:color="auto" w:fill="auto"/>
          </w:tcPr>
          <w:p w14:paraId="6C414D22" w14:textId="4B83D0C8" w:rsidR="00CD4998" w:rsidRPr="00C4545D" w:rsidRDefault="005649EA" w:rsidP="00C4545D">
            <w:pPr>
              <w:spacing w:before="120" w:after="120"/>
              <w:rPr>
                <w:rFonts w:ascii="Lato" w:hAnsi="Lato"/>
                <w:szCs w:val="22"/>
              </w:rPr>
            </w:pPr>
            <w:r>
              <w:rPr>
                <w:rFonts w:ascii="Lato" w:hAnsi="Lato"/>
                <w:szCs w:val="22"/>
              </w:rPr>
              <w:t>Patrz punkty 4</w:t>
            </w:r>
            <w:r w:rsidR="00B73F70">
              <w:rPr>
                <w:rFonts w:ascii="Lato" w:hAnsi="Lato"/>
                <w:szCs w:val="22"/>
              </w:rPr>
              <w:t>7</w:t>
            </w:r>
            <w:r w:rsidR="00112011">
              <w:rPr>
                <w:rFonts w:ascii="Lato" w:hAnsi="Lato"/>
                <w:szCs w:val="22"/>
              </w:rPr>
              <w:t>-</w:t>
            </w:r>
            <w:r w:rsidR="00B73F70">
              <w:rPr>
                <w:rFonts w:ascii="Lato" w:hAnsi="Lato"/>
                <w:szCs w:val="22"/>
              </w:rPr>
              <w:t>50</w:t>
            </w:r>
            <w:r>
              <w:rPr>
                <w:rFonts w:ascii="Lato" w:hAnsi="Lato"/>
                <w:szCs w:val="22"/>
              </w:rPr>
              <w:t>.</w:t>
            </w:r>
          </w:p>
        </w:tc>
      </w:tr>
      <w:tr w:rsidR="00194E8D" w:rsidRPr="00C4545D" w14:paraId="69748ECB" w14:textId="77777777" w:rsidTr="00D45B51">
        <w:tc>
          <w:tcPr>
            <w:tcW w:w="4287" w:type="dxa"/>
            <w:shd w:val="clear" w:color="auto" w:fill="auto"/>
          </w:tcPr>
          <w:p w14:paraId="6F34BE5B" w14:textId="1677F1F9" w:rsidR="00194E8D" w:rsidRPr="00C4545D" w:rsidRDefault="00194E8D" w:rsidP="00C4545D">
            <w:pPr>
              <w:spacing w:before="120" w:after="120"/>
              <w:rPr>
                <w:rFonts w:ascii="Lato" w:hAnsi="Lato"/>
                <w:szCs w:val="22"/>
              </w:rPr>
            </w:pPr>
            <w:r w:rsidRPr="00C4545D">
              <w:rPr>
                <w:rFonts w:ascii="Lato" w:hAnsi="Lato"/>
                <w:szCs w:val="22"/>
              </w:rPr>
              <w:t>Posiadacz pozwolenia na korzystanie z procedury końcowego przeznaczenia zobowiązany jest do złożenia, na podstawie art. 175 ust. 1 UKC-RD, rozliczenia zamknięcia i podania w nim danych szczegółowych na temat każdego przeniesienia praw i obowiązków</w:t>
            </w:r>
            <w:r w:rsidR="00CD4998">
              <w:rPr>
                <w:rFonts w:ascii="Lato" w:hAnsi="Lato"/>
                <w:szCs w:val="22"/>
              </w:rPr>
              <w:t>.</w:t>
            </w:r>
          </w:p>
        </w:tc>
        <w:tc>
          <w:tcPr>
            <w:tcW w:w="4292" w:type="dxa"/>
            <w:shd w:val="clear" w:color="auto" w:fill="auto"/>
          </w:tcPr>
          <w:p w14:paraId="5577A151" w14:textId="1B1972EA" w:rsidR="00194E8D" w:rsidRPr="00C4545D" w:rsidRDefault="00194E8D" w:rsidP="00C4545D">
            <w:pPr>
              <w:spacing w:before="120" w:after="120"/>
              <w:rPr>
                <w:rFonts w:ascii="Lato" w:hAnsi="Lato"/>
                <w:szCs w:val="22"/>
              </w:rPr>
            </w:pPr>
            <w:r w:rsidRPr="00C4545D">
              <w:rPr>
                <w:rFonts w:ascii="Lato" w:hAnsi="Lato"/>
                <w:szCs w:val="22"/>
              </w:rPr>
              <w:t>Posiadacz pozwolenia na korzystanie z procedury końcowego przeznaczenia zobowiązany jest do złożenia, na podstawie art. 175 ust. 1 UKC-RD, rozliczenia zamknięcia i podania w nim danych szczegółowych na temat każdego przeniesienia praw i obowiązków</w:t>
            </w:r>
            <w:r w:rsidR="00A45487">
              <w:rPr>
                <w:rFonts w:ascii="Lato" w:hAnsi="Lato"/>
                <w:szCs w:val="22"/>
              </w:rPr>
              <w:t>.</w:t>
            </w:r>
          </w:p>
        </w:tc>
      </w:tr>
      <w:tr w:rsidR="00194E8D" w:rsidRPr="00C4545D" w14:paraId="62B2967C" w14:textId="77777777" w:rsidTr="00D45B51">
        <w:tc>
          <w:tcPr>
            <w:tcW w:w="4287" w:type="dxa"/>
            <w:shd w:val="clear" w:color="auto" w:fill="auto"/>
          </w:tcPr>
          <w:p w14:paraId="3796F0F1" w14:textId="427B748E" w:rsidR="00194E8D" w:rsidRPr="00C4545D" w:rsidRDefault="00194E8D" w:rsidP="00C4545D">
            <w:pPr>
              <w:spacing w:before="120" w:after="120"/>
              <w:rPr>
                <w:rFonts w:ascii="Lato" w:hAnsi="Lato"/>
                <w:szCs w:val="22"/>
              </w:rPr>
            </w:pPr>
            <w:r w:rsidRPr="00C4545D">
              <w:rPr>
                <w:rFonts w:ascii="Lato" w:hAnsi="Lato"/>
                <w:szCs w:val="22"/>
              </w:rPr>
              <w:t>Przy przekazywaniu i przemieszczaniu towaru od Przekazującego do Przejmującego należy stosować specjalny formularz, zwany „</w:t>
            </w:r>
            <w:r w:rsidRPr="00C4545D">
              <w:rPr>
                <w:rFonts w:ascii="Lato" w:hAnsi="Lato"/>
                <w:b/>
                <w:szCs w:val="22"/>
              </w:rPr>
              <w:t>formularzem TORO</w:t>
            </w:r>
            <w:r w:rsidR="00A33AC8">
              <w:rPr>
                <w:rFonts w:ascii="Lato" w:hAnsi="Lato"/>
                <w:b/>
                <w:szCs w:val="22"/>
              </w:rPr>
              <w:t>³</w:t>
            </w:r>
            <w:r w:rsidRPr="00C4545D">
              <w:rPr>
                <w:rFonts w:ascii="Lato" w:hAnsi="Lato"/>
                <w:szCs w:val="22"/>
              </w:rPr>
              <w:t>”.</w:t>
            </w:r>
          </w:p>
        </w:tc>
        <w:tc>
          <w:tcPr>
            <w:tcW w:w="4292" w:type="dxa"/>
            <w:shd w:val="clear" w:color="auto" w:fill="auto"/>
          </w:tcPr>
          <w:p w14:paraId="34A6164F" w14:textId="77777777" w:rsidR="00194E8D" w:rsidRPr="00C4545D" w:rsidRDefault="00194E8D" w:rsidP="00C4545D">
            <w:pPr>
              <w:spacing w:before="120" w:after="120"/>
              <w:rPr>
                <w:rFonts w:ascii="Lato" w:hAnsi="Lato"/>
                <w:szCs w:val="22"/>
              </w:rPr>
            </w:pPr>
            <w:r w:rsidRPr="00C4545D">
              <w:rPr>
                <w:rFonts w:ascii="Lato" w:hAnsi="Lato"/>
                <w:szCs w:val="22"/>
              </w:rPr>
              <w:t>Przy przekazywaniu i przemieszczaniu towaru od Przekazującego do Przejmującego należy stosować specjalny formularz, zwany „</w:t>
            </w:r>
            <w:r w:rsidRPr="00C4545D">
              <w:rPr>
                <w:rFonts w:ascii="Lato" w:hAnsi="Lato"/>
                <w:b/>
                <w:szCs w:val="22"/>
              </w:rPr>
              <w:t>formularzem TORO</w:t>
            </w:r>
            <w:r w:rsidR="00DF1E8A" w:rsidRPr="00C4545D">
              <w:rPr>
                <w:rStyle w:val="Odwoanieprzypisudolnego"/>
                <w:rFonts w:ascii="Lato" w:hAnsi="Lato"/>
                <w:b/>
                <w:szCs w:val="22"/>
              </w:rPr>
              <w:footnoteReference w:id="3"/>
            </w:r>
            <w:r w:rsidRPr="00C4545D">
              <w:rPr>
                <w:rFonts w:ascii="Lato" w:hAnsi="Lato"/>
                <w:szCs w:val="22"/>
              </w:rPr>
              <w:t>”.</w:t>
            </w:r>
          </w:p>
        </w:tc>
      </w:tr>
    </w:tbl>
    <w:p w14:paraId="63A6B252" w14:textId="11933230" w:rsidR="00194E8D" w:rsidRPr="00C4545D" w:rsidRDefault="00194E8D" w:rsidP="00F96EA3">
      <w:pPr>
        <w:numPr>
          <w:ilvl w:val="0"/>
          <w:numId w:val="13"/>
        </w:numPr>
        <w:spacing w:before="120" w:after="120"/>
        <w:ind w:hanging="502"/>
        <w:rPr>
          <w:rFonts w:ascii="Lato" w:hAnsi="Lato"/>
          <w:szCs w:val="22"/>
        </w:rPr>
      </w:pPr>
      <w:r w:rsidRPr="00C4545D">
        <w:rPr>
          <w:rFonts w:ascii="Lato" w:hAnsi="Lato"/>
          <w:szCs w:val="22"/>
        </w:rPr>
        <w:t xml:space="preserve">W przypadku stosowania procedury </w:t>
      </w:r>
      <w:r w:rsidRPr="00C4545D">
        <w:rPr>
          <w:rFonts w:ascii="Lato" w:hAnsi="Lato"/>
          <w:b/>
          <w:szCs w:val="22"/>
        </w:rPr>
        <w:t>TORO-2</w:t>
      </w:r>
      <w:r w:rsidRPr="00C4545D">
        <w:rPr>
          <w:rFonts w:ascii="Lato" w:hAnsi="Lato"/>
          <w:szCs w:val="22"/>
        </w:rPr>
        <w:t>:</w:t>
      </w:r>
    </w:p>
    <w:p w14:paraId="0D13E336" w14:textId="7CD417F4" w:rsidR="00194E8D" w:rsidRPr="00C4545D" w:rsidRDefault="00B94088" w:rsidP="005D7518">
      <w:pPr>
        <w:numPr>
          <w:ilvl w:val="0"/>
          <w:numId w:val="17"/>
        </w:numPr>
        <w:tabs>
          <w:tab w:val="clear" w:pos="360"/>
          <w:tab w:val="num" w:pos="567"/>
        </w:tabs>
        <w:spacing w:before="120" w:after="120"/>
        <w:ind w:left="1134" w:hanging="567"/>
        <w:rPr>
          <w:rFonts w:ascii="Lato" w:hAnsi="Lato"/>
          <w:szCs w:val="22"/>
        </w:rPr>
      </w:pPr>
      <w:r w:rsidRPr="005D7518">
        <w:rPr>
          <w:rFonts w:ascii="Lato" w:hAnsi="Lato"/>
          <w:szCs w:val="22"/>
        </w:rPr>
        <w:t>organ celny, który udziela Przejmującemu pozwolenie na całkowite przeniesienie praw i obowiązków staje się kontrolnym urzędem celnym</w:t>
      </w:r>
      <w:r>
        <w:rPr>
          <w:rFonts w:ascii="Lato" w:hAnsi="Lato"/>
          <w:szCs w:val="22"/>
        </w:rPr>
        <w:t>.</w:t>
      </w:r>
      <w:r>
        <w:t xml:space="preserve"> </w:t>
      </w:r>
      <w:r w:rsidR="00194E8D" w:rsidRPr="00C4545D">
        <w:rPr>
          <w:rFonts w:ascii="Lato" w:hAnsi="Lato"/>
          <w:b/>
          <w:szCs w:val="22"/>
        </w:rPr>
        <w:t>Przejmuj</w:t>
      </w:r>
      <w:r w:rsidR="008D4CC3">
        <w:rPr>
          <w:rFonts w:ascii="Lato" w:hAnsi="Lato"/>
          <w:b/>
          <w:szCs w:val="22"/>
        </w:rPr>
        <w:t>ą</w:t>
      </w:r>
      <w:r w:rsidR="00194E8D" w:rsidRPr="00C4545D">
        <w:rPr>
          <w:rFonts w:ascii="Lato" w:hAnsi="Lato"/>
          <w:b/>
          <w:szCs w:val="22"/>
        </w:rPr>
        <w:t xml:space="preserve">cy </w:t>
      </w:r>
      <w:r w:rsidR="00194E8D" w:rsidRPr="00C4545D">
        <w:rPr>
          <w:rFonts w:ascii="Lato" w:hAnsi="Lato"/>
          <w:szCs w:val="22"/>
        </w:rPr>
        <w:t>zobowiązany będzie do przedstawienia w swoim kontrolnym urzędzie celnym (kontrolny urząd celny Przejmującego) informacji o zamknięciu procedury końcowego przeznaczenia, bowiem w wyniku przeniesienia w całości praw i obowiązków osoby uprawnionej do korzystania z procedury końcowego przeznaczenia, przejęty został przez niego obowiązek wykorzystania towarów do celów przewidzianych do zastosowania zwolnienia z cła lub obniżonej stawki celnej w ramach wyznaczonego terminu zamknięcia procedury</w:t>
      </w:r>
      <w:r>
        <w:rPr>
          <w:rFonts w:ascii="Lato" w:hAnsi="Lato"/>
          <w:szCs w:val="22"/>
        </w:rPr>
        <w:t xml:space="preserve"> (art. 266 UKC-RW)</w:t>
      </w:r>
      <w:r w:rsidR="00194E8D" w:rsidRPr="00C4545D">
        <w:rPr>
          <w:rFonts w:ascii="Lato" w:hAnsi="Lato"/>
          <w:szCs w:val="22"/>
        </w:rPr>
        <w:t xml:space="preserve">. Informacja na temat zamknięcia procedury końcowego przeznaczenia w odniesieniu do  towarów przekazanych w związku z uzyskanym przez Przejmującego pozwoleniem na przeniesienie w całości praw i obowiązków lub  kolejnym przeniesieniu w całości praw i obowiązków (w przypadku, gdy Przejmujący przekazuje towar kolejnemu Przejmującemu), powinna zostać </w:t>
      </w:r>
      <w:r w:rsidR="00194E8D" w:rsidRPr="00C4545D">
        <w:rPr>
          <w:rFonts w:ascii="Lato" w:hAnsi="Lato"/>
          <w:b/>
          <w:szCs w:val="22"/>
        </w:rPr>
        <w:t>przedstawiona w formie stanowiącej odpowiednik rozliczenia zamknięcia</w:t>
      </w:r>
      <w:r w:rsidR="00194E8D" w:rsidRPr="00C4545D">
        <w:rPr>
          <w:rFonts w:ascii="Lato" w:hAnsi="Lato"/>
          <w:szCs w:val="22"/>
        </w:rPr>
        <w:t xml:space="preserve"> (art. 175 ust. 1 UKC-RD, Załącznik 71-06 UKC-RD). </w:t>
      </w:r>
      <w:r w:rsidR="00194E8D" w:rsidRPr="00C4545D">
        <w:rPr>
          <w:rFonts w:ascii="Lato" w:hAnsi="Lato"/>
          <w:b/>
          <w:szCs w:val="22"/>
        </w:rPr>
        <w:t>Kontrolny urząd celny Przejmującego</w:t>
      </w:r>
      <w:r w:rsidR="00194E8D" w:rsidRPr="00C4545D">
        <w:rPr>
          <w:rFonts w:ascii="Lato" w:hAnsi="Lato"/>
          <w:szCs w:val="22"/>
        </w:rPr>
        <w:t xml:space="preserve"> będzie bowiem sprawować dozór i kontrolę celną nad prawidłowością realizacji procedury końcowego przeznaczenia przez Przejmującego w związku z udzielonym mu pozwoleniem na całkowite przeniesienie praw i obowiązków osoby uprawnionej do korzystania z procedury końcowego przeznaczenia. Informacja na temat zamknięcia procedury lub na temat kolejnego przeniesienia w całości praw i obowiązków powinna zostać przekazana do kontrolnego urzędu celnego Przejmującego w ciągu 30 dni </w:t>
      </w:r>
      <w:r>
        <w:rPr>
          <w:rFonts w:ascii="Lato" w:hAnsi="Lato"/>
          <w:szCs w:val="22"/>
        </w:rPr>
        <w:t>od</w:t>
      </w:r>
      <w:r w:rsidR="00194E8D" w:rsidRPr="00C4545D">
        <w:rPr>
          <w:rFonts w:ascii="Lato" w:hAnsi="Lato"/>
          <w:szCs w:val="22"/>
        </w:rPr>
        <w:t xml:space="preserve"> upływ</w:t>
      </w:r>
      <w:r>
        <w:rPr>
          <w:rFonts w:ascii="Lato" w:hAnsi="Lato"/>
          <w:szCs w:val="22"/>
        </w:rPr>
        <w:t>u</w:t>
      </w:r>
      <w:r w:rsidR="00194E8D" w:rsidRPr="00C4545D">
        <w:rPr>
          <w:rFonts w:ascii="Lato" w:hAnsi="Lato"/>
          <w:szCs w:val="22"/>
        </w:rPr>
        <w:t xml:space="preserve"> terminu zamknięcia procedury; </w:t>
      </w:r>
    </w:p>
    <w:p w14:paraId="4F0045EA" w14:textId="1FAE071B" w:rsidR="00194E8D" w:rsidRPr="00C4545D" w:rsidRDefault="00194E8D" w:rsidP="005D7518">
      <w:pPr>
        <w:numPr>
          <w:ilvl w:val="0"/>
          <w:numId w:val="17"/>
        </w:numPr>
        <w:spacing w:before="120" w:after="120"/>
        <w:ind w:left="1134" w:hanging="567"/>
        <w:rPr>
          <w:rFonts w:ascii="Lato" w:hAnsi="Lato"/>
          <w:szCs w:val="22"/>
        </w:rPr>
      </w:pPr>
      <w:r w:rsidRPr="00C4545D">
        <w:rPr>
          <w:rFonts w:ascii="Lato" w:hAnsi="Lato"/>
          <w:szCs w:val="22"/>
        </w:rPr>
        <w:t>dane szczegółowe dotyczące każdego przeniesienia praw i obowiązków powinny zostać zawarte w ewidencjach posiadacza pozwolenia na korzystanie z procedury końcowego przeznaczenia oraz Przejmującego (art. 178 ust. 1 lit. p) UKC-RD, art. 214 ust. 1 UK</w:t>
      </w:r>
      <w:r w:rsidR="00B94088">
        <w:rPr>
          <w:rFonts w:ascii="Lato" w:hAnsi="Lato"/>
          <w:szCs w:val="22"/>
        </w:rPr>
        <w:t>C</w:t>
      </w:r>
      <w:r w:rsidRPr="00C4545D">
        <w:rPr>
          <w:rFonts w:ascii="Lato" w:hAnsi="Lato"/>
          <w:szCs w:val="22"/>
        </w:rPr>
        <w:t>);</w:t>
      </w:r>
    </w:p>
    <w:p w14:paraId="5886FDCB" w14:textId="77777777" w:rsidR="00194E8D" w:rsidRPr="00C4545D" w:rsidRDefault="00194E8D" w:rsidP="005D7518">
      <w:pPr>
        <w:numPr>
          <w:ilvl w:val="0"/>
          <w:numId w:val="17"/>
        </w:numPr>
        <w:spacing w:before="120" w:after="120"/>
        <w:ind w:left="1134" w:hanging="567"/>
        <w:rPr>
          <w:rFonts w:ascii="Lato" w:hAnsi="Lato"/>
          <w:szCs w:val="22"/>
        </w:rPr>
      </w:pPr>
      <w:r w:rsidRPr="00C4545D">
        <w:rPr>
          <w:rFonts w:ascii="Lato" w:hAnsi="Lato"/>
          <w:szCs w:val="22"/>
        </w:rPr>
        <w:t>numer pozwolenia na korzystanie z procedury końcowego przeznaczenia i numer Pozwolenia TORO wymagane będą do podawania w stosownych dokumentach;</w:t>
      </w:r>
    </w:p>
    <w:p w14:paraId="4DC34224" w14:textId="6FA7DE21" w:rsidR="00194E8D" w:rsidRPr="00C4545D" w:rsidRDefault="00194E8D" w:rsidP="005D7518">
      <w:pPr>
        <w:numPr>
          <w:ilvl w:val="0"/>
          <w:numId w:val="17"/>
        </w:numPr>
        <w:spacing w:before="120" w:after="120"/>
        <w:ind w:left="1134" w:hanging="567"/>
        <w:rPr>
          <w:rFonts w:ascii="Lato" w:hAnsi="Lato"/>
          <w:szCs w:val="22"/>
        </w:rPr>
      </w:pPr>
      <w:r w:rsidRPr="00C4545D">
        <w:rPr>
          <w:rFonts w:ascii="Lato" w:hAnsi="Lato"/>
          <w:szCs w:val="22"/>
        </w:rPr>
        <w:t>Przejmujący nie może przetwarzać większej ilości towarów objętych procedurą końcowego przeznaczenia niż pozwala mu na to ilość jaka  została wskazana w udzielonym Pozwoleniu TORO;</w:t>
      </w:r>
    </w:p>
    <w:p w14:paraId="56CD4069" w14:textId="77777777" w:rsidR="00194E8D" w:rsidRPr="00C4545D" w:rsidRDefault="00194E8D" w:rsidP="005D7518">
      <w:pPr>
        <w:spacing w:before="120" w:after="120"/>
        <w:ind w:left="1134" w:hanging="567"/>
        <w:rPr>
          <w:rFonts w:ascii="Lato" w:hAnsi="Lato"/>
          <w:szCs w:val="22"/>
        </w:rPr>
      </w:pPr>
      <w:r w:rsidRPr="00C4545D">
        <w:rPr>
          <w:rFonts w:ascii="Lato" w:hAnsi="Lato"/>
          <w:szCs w:val="22"/>
        </w:rPr>
        <w:t>–</w:t>
      </w:r>
      <w:r w:rsidRPr="00C4545D">
        <w:rPr>
          <w:rFonts w:ascii="Lato" w:hAnsi="Lato"/>
          <w:szCs w:val="22"/>
        </w:rPr>
        <w:tab/>
        <w:t>zabezpieczenie musi w każdym momencie stosowania Procedury TORO pokrywać mogący powstać dług celny ciążący na przejmowanych towarach;</w:t>
      </w:r>
    </w:p>
    <w:p w14:paraId="1B2CD41D" w14:textId="3D562A70" w:rsidR="00194E8D" w:rsidRPr="00C4545D" w:rsidRDefault="00194E8D" w:rsidP="005D7518">
      <w:pPr>
        <w:spacing w:before="120" w:after="120"/>
        <w:ind w:left="1134" w:hanging="567"/>
        <w:rPr>
          <w:rFonts w:ascii="Lato" w:hAnsi="Lato"/>
          <w:szCs w:val="22"/>
        </w:rPr>
      </w:pPr>
      <w:r w:rsidRPr="00C4545D">
        <w:rPr>
          <w:rFonts w:ascii="Lato" w:hAnsi="Lato"/>
          <w:szCs w:val="22"/>
        </w:rPr>
        <w:t>–</w:t>
      </w:r>
      <w:r w:rsidRPr="00C4545D">
        <w:rPr>
          <w:rFonts w:ascii="Lato" w:hAnsi="Lato"/>
          <w:szCs w:val="22"/>
        </w:rPr>
        <w:tab/>
        <w:t>termin zamknięcia procedury końcowego przeznaczenia wyznaczony w pozwoleniu na korzystanie z procedury końcowego przeznaczenia musi być respektowany przez Przejmującego. Dzień, w którym upływa termin zamknięcia procedury jest wskazywany w polu 13 formularza TORO</w:t>
      </w:r>
      <w:r w:rsidR="00B94088">
        <w:rPr>
          <w:rFonts w:ascii="Lato" w:hAnsi="Lato"/>
          <w:szCs w:val="22"/>
        </w:rPr>
        <w:t>, na podstawie którego nastąpiło przekazanie towarów</w:t>
      </w:r>
      <w:r w:rsidRPr="00C4545D">
        <w:rPr>
          <w:rFonts w:ascii="Lato" w:hAnsi="Lato"/>
          <w:szCs w:val="22"/>
        </w:rPr>
        <w:t>. Istnieje możliwość przedłużenia terminu zamknięcia procedury, jeśli zaistnieje taka potrzeba (poprzez stosowną zmianę Pozwolenia TORO</w:t>
      </w:r>
      <w:r w:rsidR="00B94088" w:rsidRPr="00B94088">
        <w:rPr>
          <w:rFonts w:ascii="Lato" w:hAnsi="Lato"/>
          <w:szCs w:val="22"/>
        </w:rPr>
        <w:t>; wniosek o przedłużenie terminu zamknięcia procedury powinien zostać złożony przez Przejmującego przed upływem tego terminu</w:t>
      </w:r>
      <w:r w:rsidRPr="00C4545D">
        <w:rPr>
          <w:rFonts w:ascii="Lato" w:hAnsi="Lato"/>
          <w:szCs w:val="22"/>
        </w:rPr>
        <w:t>).</w:t>
      </w:r>
    </w:p>
    <w:p w14:paraId="21D21974" w14:textId="1791E16A" w:rsidR="002744A6" w:rsidRPr="00C4545D" w:rsidRDefault="002744A6" w:rsidP="00F96EA3">
      <w:pPr>
        <w:numPr>
          <w:ilvl w:val="0"/>
          <w:numId w:val="13"/>
        </w:numPr>
        <w:spacing w:before="120" w:after="120"/>
        <w:ind w:hanging="502"/>
        <w:rPr>
          <w:rFonts w:ascii="Lato" w:hAnsi="Lato"/>
          <w:b/>
          <w:szCs w:val="22"/>
        </w:rPr>
      </w:pPr>
      <w:r w:rsidRPr="00C4545D">
        <w:rPr>
          <w:rFonts w:ascii="Lato" w:hAnsi="Lato"/>
          <w:b/>
          <w:szCs w:val="22"/>
        </w:rPr>
        <w:t xml:space="preserve">W przypadku TORO – 2 </w:t>
      </w:r>
      <w:r w:rsidRPr="00C4545D">
        <w:rPr>
          <w:rFonts w:ascii="Lato" w:hAnsi="Lato"/>
          <w:szCs w:val="22"/>
        </w:rPr>
        <w:t xml:space="preserve">Przekazujący i Przejmujący powinni między sobą określić moment, w którym nastąpi przekazanie towarów stanowiące całkowite przeniesienie praw i obowiązków, np. przyjazd towarów do zakładu Przejmującego. Ma to znaczenie z uwagi na to, że obowiązek uiszczenia potencjalnych należności za towary przechodzi na Przejmującego, z tym właśnie momentem. Przekazanie towarów Przejmującemu nie stanowi zakończenia procedury końcowego przeznaczenia, w rozumieniu art. 215 UKC, ponieważ zakończenie tej procedury będzie mieć miejsce na późniejszym etapie, gdy nadane zostanie przewidziane przeznaczenie końcowe </w:t>
      </w:r>
      <w:r w:rsidR="00B94088">
        <w:rPr>
          <w:rFonts w:ascii="Lato" w:hAnsi="Lato"/>
          <w:szCs w:val="22"/>
        </w:rPr>
        <w:t xml:space="preserve">przez Przejmującego </w:t>
      </w:r>
      <w:r w:rsidRPr="00C4545D">
        <w:rPr>
          <w:rFonts w:ascii="Lato" w:hAnsi="Lato"/>
          <w:szCs w:val="22"/>
        </w:rPr>
        <w:t>(a stosowne informacje zostaną przekazane do właściwego  kontrolnego urzędu celnego</w:t>
      </w:r>
      <w:r w:rsidRPr="00B94088">
        <w:rPr>
          <w:rFonts w:ascii="Lato" w:hAnsi="Lato"/>
          <w:szCs w:val="22"/>
        </w:rPr>
        <w:t>).</w:t>
      </w:r>
      <w:r w:rsidR="00B94088" w:rsidRPr="00B94088">
        <w:rPr>
          <w:rFonts w:ascii="Lato" w:hAnsi="Lato"/>
          <w:szCs w:val="22"/>
        </w:rPr>
        <w:t xml:space="preserve"> Przekazanie to pozwala Przekazującemu na „zakończenie”, ale tylko w kontekście zwolnienia z odpowiedzialności indywidualnej, a nie w kontekście zakończenia procedury w rozumieniu art. 215 UKC</w:t>
      </w:r>
      <w:r w:rsidR="00B94088">
        <w:rPr>
          <w:sz w:val="24"/>
        </w:rPr>
        <w:t>.</w:t>
      </w:r>
    </w:p>
    <w:p w14:paraId="14274478" w14:textId="77777777" w:rsidR="00194E8D" w:rsidRPr="00C4545D" w:rsidRDefault="00F44246" w:rsidP="00F96EA3">
      <w:pPr>
        <w:numPr>
          <w:ilvl w:val="0"/>
          <w:numId w:val="13"/>
        </w:numPr>
        <w:spacing w:before="120" w:after="120"/>
        <w:ind w:hanging="502"/>
        <w:rPr>
          <w:rFonts w:ascii="Lato" w:hAnsi="Lato"/>
          <w:b/>
          <w:szCs w:val="22"/>
        </w:rPr>
      </w:pPr>
      <w:r w:rsidRPr="00C4545D">
        <w:rPr>
          <w:rFonts w:ascii="Lato" w:hAnsi="Lato"/>
          <w:szCs w:val="22"/>
        </w:rPr>
        <w:t>W przypadku</w:t>
      </w:r>
      <w:r w:rsidRPr="00C4545D">
        <w:rPr>
          <w:rFonts w:ascii="Lato" w:hAnsi="Lato"/>
          <w:b/>
          <w:szCs w:val="22"/>
        </w:rPr>
        <w:t xml:space="preserve"> TORO – 2 Przekazujący zostaje zwolniony ze swoich obowiązków dopiero w chwili, kiedy:</w:t>
      </w:r>
    </w:p>
    <w:p w14:paraId="417A7474" w14:textId="77777777" w:rsidR="00F44246" w:rsidRPr="00C4545D" w:rsidRDefault="00F44246" w:rsidP="00C4545D">
      <w:pPr>
        <w:numPr>
          <w:ilvl w:val="0"/>
          <w:numId w:val="19"/>
        </w:numPr>
        <w:spacing w:before="120" w:after="120"/>
        <w:ind w:left="1134" w:hanging="567"/>
        <w:rPr>
          <w:rFonts w:ascii="Lato" w:hAnsi="Lato"/>
          <w:szCs w:val="22"/>
        </w:rPr>
      </w:pPr>
      <w:r w:rsidRPr="00C4545D">
        <w:rPr>
          <w:rFonts w:ascii="Lato" w:hAnsi="Lato"/>
          <w:szCs w:val="22"/>
        </w:rPr>
        <w:t>Przejmujący odebrał towary i został poinformowany, że towary znajdują się pod dozorem w związku z ich przeznaczeniem końcowym i</w:t>
      </w:r>
    </w:p>
    <w:p w14:paraId="11D25D36" w14:textId="77777777" w:rsidR="00F44246" w:rsidRPr="00C4545D" w:rsidRDefault="00F44246" w:rsidP="00C4545D">
      <w:pPr>
        <w:numPr>
          <w:ilvl w:val="0"/>
          <w:numId w:val="19"/>
        </w:numPr>
        <w:spacing w:before="120" w:after="120"/>
        <w:ind w:left="1134" w:hanging="567"/>
        <w:rPr>
          <w:rFonts w:ascii="Lato" w:hAnsi="Lato"/>
          <w:szCs w:val="22"/>
        </w:rPr>
      </w:pPr>
      <w:r w:rsidRPr="00C4545D">
        <w:rPr>
          <w:rFonts w:ascii="Lato" w:hAnsi="Lato"/>
          <w:szCs w:val="22"/>
        </w:rPr>
        <w:t>Przejmujący wpisał towary do swojej ewidencji; czynność ta obejmuje odpowiednie potwierdzenie na Formularzu TORO odbioru towarów.</w:t>
      </w:r>
    </w:p>
    <w:p w14:paraId="4E4E96A4" w14:textId="77777777" w:rsidR="00F44246" w:rsidRPr="00C4545D" w:rsidRDefault="00F44246" w:rsidP="00F96EA3">
      <w:pPr>
        <w:pStyle w:val="Akapitzlist"/>
        <w:numPr>
          <w:ilvl w:val="0"/>
          <w:numId w:val="13"/>
        </w:numPr>
        <w:spacing w:before="120" w:after="120"/>
        <w:ind w:hanging="502"/>
        <w:rPr>
          <w:rFonts w:ascii="Lato" w:eastAsia="Cambria" w:hAnsi="Lato"/>
          <w:b/>
          <w:lang w:eastAsia="en-US" w:bidi="ar-SA"/>
        </w:rPr>
      </w:pPr>
      <w:r w:rsidRPr="00C4545D">
        <w:rPr>
          <w:rFonts w:ascii="Lato" w:hAnsi="Lato"/>
        </w:rPr>
        <w:t>W przypadku</w:t>
      </w:r>
      <w:r w:rsidRPr="00C4545D">
        <w:rPr>
          <w:rFonts w:ascii="Lato" w:hAnsi="Lato"/>
          <w:b/>
        </w:rPr>
        <w:t xml:space="preserve"> TORO – 2 </w:t>
      </w:r>
      <w:r w:rsidRPr="00C4545D">
        <w:rPr>
          <w:rFonts w:ascii="Lato" w:eastAsia="Cambria" w:hAnsi="Lato"/>
          <w:b/>
          <w:lang w:eastAsia="en-US" w:bidi="ar-SA"/>
        </w:rPr>
        <w:t>Przejmujący staje się odpowiedzialny za wypełnienie warunków procedury końcowego przeznaczenia w chwili uznanej za przekazanie  towarów.</w:t>
      </w:r>
    </w:p>
    <w:p w14:paraId="37F5E9FF" w14:textId="160186CF" w:rsidR="00F44246" w:rsidRPr="00C4545D" w:rsidRDefault="002744A6" w:rsidP="00F96EA3">
      <w:pPr>
        <w:numPr>
          <w:ilvl w:val="0"/>
          <w:numId w:val="13"/>
        </w:numPr>
        <w:spacing w:before="120" w:after="120"/>
        <w:ind w:hanging="502"/>
        <w:rPr>
          <w:rFonts w:ascii="Lato" w:hAnsi="Lato"/>
          <w:szCs w:val="22"/>
        </w:rPr>
      </w:pPr>
      <w:r w:rsidRPr="00C4545D">
        <w:rPr>
          <w:rFonts w:ascii="Lato" w:hAnsi="Lato"/>
          <w:szCs w:val="22"/>
        </w:rPr>
        <w:t>Jeżeli przekazanie towarów objętych procedurą końcowego przeznaczenia przez dotychczasową osobę uprawnioną do korzystania z procedury (Przekazującego) do dyspozycji kolejnej osoby, na którą te prawa i obowiązki zostały przeniesione (tj. na Przejmującego) wiąże się z fizycznym przemieszczeniem towarów, to powinno odbywać się ono zgodnie z zasadami dotyczącymi przemieszczania określonymi w art. 179 UKC-RD, art. 267 ust. 4 UKC-RW, art. 219 UKC oraz zasadami określonymi przez organ celny w pozwoleniu, w tym wymaga zastosowania Formularza TORO.</w:t>
      </w:r>
    </w:p>
    <w:p w14:paraId="701E9BFF" w14:textId="77777777" w:rsidR="00194E8D" w:rsidRPr="00C4545D" w:rsidRDefault="002744A6" w:rsidP="00F96EA3">
      <w:pPr>
        <w:numPr>
          <w:ilvl w:val="0"/>
          <w:numId w:val="13"/>
        </w:numPr>
        <w:spacing w:before="120" w:after="120"/>
        <w:ind w:hanging="502"/>
        <w:rPr>
          <w:rFonts w:ascii="Lato" w:hAnsi="Lato"/>
          <w:szCs w:val="22"/>
        </w:rPr>
      </w:pPr>
      <w:r w:rsidRPr="00C4545D">
        <w:rPr>
          <w:rFonts w:ascii="Lato" w:hAnsi="Lato"/>
          <w:szCs w:val="22"/>
        </w:rPr>
        <w:t>Prowadzona ewidencja, o której mowa w art. 214 UKC, winna zawierać informacje i dane, które umożliwiają organom celnym nadzór nad daną procedurą, w szczególności w odniesieniu do przemieszczeń towarów objętych tą procedurą.</w:t>
      </w:r>
    </w:p>
    <w:p w14:paraId="615386F6" w14:textId="77777777" w:rsidR="002744A6" w:rsidRPr="00C4545D" w:rsidRDefault="002744A6" w:rsidP="00F96EA3">
      <w:pPr>
        <w:numPr>
          <w:ilvl w:val="0"/>
          <w:numId w:val="13"/>
        </w:numPr>
        <w:spacing w:before="120" w:after="120"/>
        <w:ind w:hanging="502"/>
        <w:rPr>
          <w:rFonts w:ascii="Lato" w:hAnsi="Lato"/>
          <w:szCs w:val="22"/>
        </w:rPr>
      </w:pPr>
      <w:r w:rsidRPr="00C4545D">
        <w:rPr>
          <w:rFonts w:ascii="Lato" w:hAnsi="Lato"/>
          <w:szCs w:val="22"/>
        </w:rPr>
        <w:t>Przekazanie towaru Przejmującemu, nie wymaga  złożenia przez Przejmującego zgłoszenia celnego o objęcie procedurą końcowego przeznaczenia.</w:t>
      </w:r>
    </w:p>
    <w:p w14:paraId="5C6D78FC" w14:textId="77777777" w:rsidR="00F44246" w:rsidRPr="00C4545D" w:rsidRDefault="00F44246" w:rsidP="00C4545D">
      <w:pPr>
        <w:pStyle w:val="Nagwek1"/>
        <w:jc w:val="left"/>
        <w:rPr>
          <w:rFonts w:ascii="Lato" w:hAnsi="Lato"/>
        </w:rPr>
      </w:pPr>
      <w:r w:rsidRPr="00C4545D">
        <w:rPr>
          <w:rFonts w:ascii="Lato" w:hAnsi="Lato"/>
        </w:rPr>
        <w:t>Dozór celny</w:t>
      </w:r>
    </w:p>
    <w:p w14:paraId="6EC751C8" w14:textId="539D7F8D" w:rsidR="007177C6" w:rsidRPr="00C4545D" w:rsidRDefault="007177C6" w:rsidP="00F96EA3">
      <w:pPr>
        <w:numPr>
          <w:ilvl w:val="0"/>
          <w:numId w:val="13"/>
        </w:numPr>
        <w:spacing w:before="120" w:after="120"/>
        <w:ind w:hanging="502"/>
        <w:rPr>
          <w:rFonts w:ascii="Lato" w:hAnsi="Lato"/>
          <w:szCs w:val="22"/>
        </w:rPr>
      </w:pPr>
      <w:r w:rsidRPr="00C4545D">
        <w:rPr>
          <w:rFonts w:ascii="Lato" w:hAnsi="Lato"/>
          <w:szCs w:val="22"/>
        </w:rPr>
        <w:t>Zwykle towary pozostają pod dozorem celnym i podlegają należnościom przywozowym do czasu, gdy po raz pierwszy osiągną określone końcowe przeznaczenie. Posiadacz pozwolenia jest zatem w stanie dowolnie dysponować tym towarem (może go sprzedać lub przekazać przedsiębiorcy, który nie posiada pozwolenia na dopuszczenie do obrotu z końcowym przeznaczeniem). Dopuszcza się jednakże przedłużenie okresu dozoru celnego do 2 lat w stosunku do towarów wielokrotnego użycia,</w:t>
      </w:r>
      <w:r w:rsidR="00E912D5" w:rsidRPr="00C4545D">
        <w:rPr>
          <w:rFonts w:ascii="Lato" w:hAnsi="Lato"/>
          <w:szCs w:val="22"/>
        </w:rPr>
        <w:t xml:space="preserve"> </w:t>
      </w:r>
      <w:r w:rsidRPr="00C4545D">
        <w:rPr>
          <w:rFonts w:ascii="Lato" w:hAnsi="Lato"/>
          <w:szCs w:val="22"/>
        </w:rPr>
        <w:t xml:space="preserve">w przypadku, gdy </w:t>
      </w:r>
      <w:r w:rsidR="00AF2240">
        <w:rPr>
          <w:rFonts w:ascii="Lato" w:hAnsi="Lato"/>
          <w:szCs w:val="22"/>
        </w:rPr>
        <w:t>organy</w:t>
      </w:r>
      <w:r w:rsidRPr="00C4545D">
        <w:rPr>
          <w:rFonts w:ascii="Lato" w:hAnsi="Lato"/>
          <w:szCs w:val="22"/>
        </w:rPr>
        <w:t xml:space="preserve"> celne uznają to za właściwe w celu uniknięcia popełnienia nadużycia. Może to nastąpić na przykład, gdy </w:t>
      </w:r>
      <w:r w:rsidRPr="00C4545D">
        <w:rPr>
          <w:rFonts w:ascii="Lato" w:hAnsi="Lato"/>
          <w:bCs/>
          <w:szCs w:val="22"/>
        </w:rPr>
        <w:t xml:space="preserve">powstaje podejrzenie, że towar może być wykorzystany w innym celu, niż określony w pozwoleniu (np. w stosunku do części montowanych w pojeździe, które mogą zostać wymontowane). </w:t>
      </w:r>
      <w:r w:rsidRPr="00C4545D">
        <w:rPr>
          <w:rFonts w:ascii="Lato" w:hAnsi="Lato"/>
          <w:szCs w:val="22"/>
        </w:rPr>
        <w:t xml:space="preserve">W takim przypadku pierwsze przekazanie towarów do określonego przeznaczenia końcowego nie oznacza zakończenia procedury. W czasie przedłużonego okresu dozoru celnego, towary podlegają należnościom przywozowym, zatem posiadacz stosownego pozwolenia na dopuszczenie do obrotu z końcowym przeznaczeniem w przypadku niedopełnienia warunków procedury staje się dłużnikiem. </w:t>
      </w:r>
    </w:p>
    <w:p w14:paraId="6F99579F" w14:textId="5222881E" w:rsidR="007177C6" w:rsidRPr="00C4545D" w:rsidRDefault="007177C6" w:rsidP="00C4545D">
      <w:pPr>
        <w:pStyle w:val="Nagwek1"/>
        <w:jc w:val="left"/>
        <w:rPr>
          <w:rFonts w:ascii="Lato" w:hAnsi="Lato"/>
        </w:rPr>
      </w:pPr>
      <w:bookmarkStart w:id="24" w:name="_Toc302717072"/>
      <w:bookmarkStart w:id="25" w:name="_Toc459797911"/>
      <w:bookmarkStart w:id="26" w:name="_Toc461616111"/>
      <w:r w:rsidRPr="00C4545D">
        <w:rPr>
          <w:rFonts w:ascii="Lato" w:hAnsi="Lato"/>
        </w:rPr>
        <w:t>Zamknięcie procedury końcowego przeznaczenia i rozliczenie procedury</w:t>
      </w:r>
      <w:bookmarkEnd w:id="24"/>
      <w:bookmarkEnd w:id="25"/>
      <w:bookmarkEnd w:id="26"/>
    </w:p>
    <w:p w14:paraId="68C3533D" w14:textId="77777777" w:rsidR="00A8164A" w:rsidRPr="00C4545D" w:rsidRDefault="007177C6" w:rsidP="00F96EA3">
      <w:pPr>
        <w:pStyle w:val="Tekstpodstawowy2"/>
        <w:numPr>
          <w:ilvl w:val="0"/>
          <w:numId w:val="13"/>
        </w:numPr>
        <w:spacing w:before="120" w:after="120"/>
        <w:ind w:hanging="502"/>
        <w:jc w:val="left"/>
        <w:rPr>
          <w:rFonts w:ascii="Lato" w:hAnsi="Lato"/>
          <w:szCs w:val="22"/>
        </w:rPr>
      </w:pPr>
      <w:r w:rsidRPr="00C4545D">
        <w:rPr>
          <w:rFonts w:ascii="Lato" w:hAnsi="Lato"/>
          <w:szCs w:val="22"/>
        </w:rPr>
        <w:t xml:space="preserve">Z chwilą przekazania towarów do określonego przeznaczenia końcowego albo z chwilą upływu okresu wydłużonego dozoru celnego kończy się procedura końcowego przeznaczenia. </w:t>
      </w:r>
    </w:p>
    <w:p w14:paraId="285D3B54" w14:textId="77777777" w:rsidR="00A8164A" w:rsidRPr="00C4545D" w:rsidRDefault="007177C6" w:rsidP="00F96EA3">
      <w:pPr>
        <w:pStyle w:val="Tekstpodstawowy2"/>
        <w:numPr>
          <w:ilvl w:val="0"/>
          <w:numId w:val="13"/>
        </w:numPr>
        <w:spacing w:before="120" w:after="120"/>
        <w:ind w:hanging="502"/>
        <w:jc w:val="left"/>
        <w:rPr>
          <w:rFonts w:ascii="Lato" w:hAnsi="Lato"/>
          <w:szCs w:val="22"/>
        </w:rPr>
      </w:pPr>
      <w:r w:rsidRPr="00C4545D">
        <w:rPr>
          <w:rFonts w:ascii="Lato" w:hAnsi="Lato"/>
          <w:szCs w:val="22"/>
        </w:rPr>
        <w:t xml:space="preserve">W uzasadnionych przypadkach, za zgodą organu celnego, procedura może zakończyć się wywozem lub zniszczeniem towarów objętych </w:t>
      </w:r>
      <w:r w:rsidR="00123AF9" w:rsidRPr="00C4545D">
        <w:rPr>
          <w:rFonts w:ascii="Lato" w:hAnsi="Lato"/>
          <w:szCs w:val="22"/>
        </w:rPr>
        <w:t>procedurą</w:t>
      </w:r>
      <w:r w:rsidRPr="00C4545D">
        <w:rPr>
          <w:rFonts w:ascii="Lato" w:hAnsi="Lato"/>
          <w:szCs w:val="22"/>
        </w:rPr>
        <w:t>. Wnioskując o taki tryb posiadacz pozwolenia powinien wykazać, że niemożliwe było nadanie towarom przypisanego im końcowego przeznaczenia z powodów związanych z osobą realizującą procedurę, bądź z samymi towarami.</w:t>
      </w:r>
    </w:p>
    <w:p w14:paraId="1BB9DC23" w14:textId="7406684B" w:rsidR="00123AF9" w:rsidRPr="00C4545D" w:rsidRDefault="007177C6" w:rsidP="00F96EA3">
      <w:pPr>
        <w:pStyle w:val="Tekstpodstawowy2"/>
        <w:numPr>
          <w:ilvl w:val="0"/>
          <w:numId w:val="13"/>
        </w:numPr>
        <w:spacing w:before="120" w:after="120"/>
        <w:ind w:hanging="502"/>
        <w:jc w:val="left"/>
        <w:rPr>
          <w:rFonts w:ascii="Lato" w:hAnsi="Lato"/>
          <w:szCs w:val="22"/>
        </w:rPr>
      </w:pPr>
      <w:r w:rsidRPr="00C4545D">
        <w:rPr>
          <w:rFonts w:ascii="Lato" w:hAnsi="Lato"/>
          <w:szCs w:val="22"/>
        </w:rPr>
        <w:t>Warunkiem zamknięcia procedury i jej rozliczenia jest złożenie w kontrolnym</w:t>
      </w:r>
      <w:r w:rsidR="008D4CC3">
        <w:rPr>
          <w:rFonts w:ascii="Lato" w:hAnsi="Lato"/>
          <w:szCs w:val="22"/>
        </w:rPr>
        <w:t xml:space="preserve"> urzędzie celnym</w:t>
      </w:r>
      <w:r w:rsidRPr="00C4545D">
        <w:rPr>
          <w:rFonts w:ascii="Lato" w:hAnsi="Lato"/>
          <w:szCs w:val="22"/>
        </w:rPr>
        <w:t xml:space="preserve"> </w:t>
      </w:r>
      <w:r w:rsidR="008741ED" w:rsidRPr="00C4545D">
        <w:rPr>
          <w:rFonts w:ascii="Lato" w:hAnsi="Lato"/>
          <w:szCs w:val="22"/>
        </w:rPr>
        <w:t xml:space="preserve">(właściwym urzędzie celno-skarbowym) </w:t>
      </w:r>
      <w:r w:rsidRPr="00C4545D">
        <w:rPr>
          <w:rFonts w:ascii="Lato" w:hAnsi="Lato"/>
          <w:szCs w:val="22"/>
        </w:rPr>
        <w:t>rozliczenia</w:t>
      </w:r>
      <w:r w:rsidR="00AF2240">
        <w:rPr>
          <w:rFonts w:ascii="Lato" w:hAnsi="Lato"/>
          <w:szCs w:val="22"/>
        </w:rPr>
        <w:t xml:space="preserve"> zamknięcia (art. 175 ust. 1 UKC-RD)</w:t>
      </w:r>
      <w:r w:rsidRPr="00C4545D">
        <w:rPr>
          <w:rFonts w:ascii="Lato" w:hAnsi="Lato"/>
          <w:szCs w:val="22"/>
        </w:rPr>
        <w:t xml:space="preserve">. </w:t>
      </w:r>
      <w:r w:rsidR="008741ED" w:rsidRPr="00C4545D">
        <w:rPr>
          <w:rFonts w:ascii="Lato" w:hAnsi="Lato"/>
          <w:szCs w:val="22"/>
        </w:rPr>
        <w:t xml:space="preserve">Ten urząd </w:t>
      </w:r>
      <w:r w:rsidRPr="00C4545D">
        <w:rPr>
          <w:rFonts w:ascii="Lato" w:hAnsi="Lato"/>
          <w:szCs w:val="22"/>
        </w:rPr>
        <w:t>może zwolnić z obowiązku przedstawienia rozliczenia zamknięcia, jeżeli uzna, że nie jest ono konieczne.</w:t>
      </w:r>
    </w:p>
    <w:p w14:paraId="443EDD4B" w14:textId="34DC0B72" w:rsidR="00123AF9" w:rsidRPr="00C4545D" w:rsidRDefault="007177C6" w:rsidP="00F96EA3">
      <w:pPr>
        <w:pStyle w:val="Tekstpodstawowy2"/>
        <w:numPr>
          <w:ilvl w:val="0"/>
          <w:numId w:val="13"/>
        </w:numPr>
        <w:spacing w:before="120" w:after="120"/>
        <w:ind w:hanging="502"/>
        <w:jc w:val="left"/>
        <w:rPr>
          <w:rFonts w:ascii="Lato" w:hAnsi="Lato"/>
          <w:szCs w:val="22"/>
        </w:rPr>
      </w:pPr>
      <w:r w:rsidRPr="00C4545D">
        <w:rPr>
          <w:rFonts w:ascii="Lato" w:hAnsi="Lato"/>
          <w:szCs w:val="22"/>
        </w:rPr>
        <w:t xml:space="preserve">Wszystkie objęcia w ramach procedury końcowego przeznaczenia, dla których termin zamknięcia kończy się w miesiącu kalendarzowym, mogą być uwzględnione w jednym rozliczeniu zamknięcia, które musi zostać złożone do kontrolnego </w:t>
      </w:r>
      <w:r w:rsidR="00AF2240">
        <w:rPr>
          <w:rFonts w:ascii="Lato" w:hAnsi="Lato"/>
          <w:szCs w:val="22"/>
        </w:rPr>
        <w:t xml:space="preserve">urzędu celnego </w:t>
      </w:r>
      <w:r w:rsidRPr="00C4545D">
        <w:rPr>
          <w:rFonts w:ascii="Lato" w:hAnsi="Lato"/>
          <w:szCs w:val="22"/>
        </w:rPr>
        <w:t>ostatniego dnia danego miesiąca kalendarzowego.</w:t>
      </w:r>
    </w:p>
    <w:p w14:paraId="3ABC5106" w14:textId="077A062F" w:rsidR="007177C6" w:rsidRPr="00C4545D" w:rsidRDefault="007177C6" w:rsidP="00F96EA3">
      <w:pPr>
        <w:pStyle w:val="Tekstpodstawowy2"/>
        <w:numPr>
          <w:ilvl w:val="0"/>
          <w:numId w:val="13"/>
        </w:numPr>
        <w:spacing w:before="120" w:after="120"/>
        <w:ind w:hanging="502"/>
        <w:jc w:val="left"/>
        <w:rPr>
          <w:rFonts w:ascii="Lato" w:hAnsi="Lato"/>
          <w:szCs w:val="22"/>
        </w:rPr>
      </w:pPr>
      <w:r w:rsidRPr="00C4545D">
        <w:rPr>
          <w:rFonts w:ascii="Lato" w:hAnsi="Lato"/>
          <w:szCs w:val="22"/>
        </w:rPr>
        <w:t xml:space="preserve">Jeśli rozliczenie </w:t>
      </w:r>
      <w:r w:rsidR="00AF2240">
        <w:rPr>
          <w:rFonts w:ascii="Lato" w:hAnsi="Lato"/>
          <w:szCs w:val="22"/>
        </w:rPr>
        <w:t xml:space="preserve">zamknięcie </w:t>
      </w:r>
      <w:r w:rsidRPr="00C4545D">
        <w:rPr>
          <w:rFonts w:ascii="Lato" w:hAnsi="Lato"/>
          <w:szCs w:val="22"/>
        </w:rPr>
        <w:t>jest poprawne, organ celny zwalnia zabezpieczenie</w:t>
      </w:r>
      <w:r w:rsidR="00DE245A" w:rsidRPr="00C4545D">
        <w:rPr>
          <w:rFonts w:ascii="Lato" w:hAnsi="Lato"/>
          <w:szCs w:val="22"/>
        </w:rPr>
        <w:t xml:space="preserve"> potencjalnego długu celnego</w:t>
      </w:r>
      <w:r w:rsidRPr="00C4545D">
        <w:rPr>
          <w:rFonts w:ascii="Lato" w:hAnsi="Lato"/>
          <w:szCs w:val="22"/>
        </w:rPr>
        <w:t>.</w:t>
      </w:r>
    </w:p>
    <w:p w14:paraId="657D37A8" w14:textId="25E43BF2" w:rsidR="007177C6" w:rsidRPr="00C4545D" w:rsidRDefault="007177C6" w:rsidP="00C4545D">
      <w:pPr>
        <w:pStyle w:val="Nagwek1"/>
        <w:jc w:val="left"/>
        <w:rPr>
          <w:rFonts w:ascii="Lato" w:hAnsi="Lato"/>
        </w:rPr>
      </w:pPr>
      <w:bookmarkStart w:id="27" w:name="_Toc302717073"/>
      <w:bookmarkStart w:id="28" w:name="_Toc459797912"/>
      <w:bookmarkStart w:id="29" w:name="_Toc461616112"/>
      <w:r w:rsidRPr="00C4545D">
        <w:rPr>
          <w:rFonts w:ascii="Lato" w:hAnsi="Lato"/>
        </w:rPr>
        <w:t>Odpady</w:t>
      </w:r>
      <w:bookmarkEnd w:id="27"/>
      <w:bookmarkEnd w:id="28"/>
      <w:bookmarkEnd w:id="29"/>
    </w:p>
    <w:p w14:paraId="0FCD1821" w14:textId="6C722629" w:rsidR="007177C6" w:rsidRPr="00C4545D" w:rsidRDefault="007177C6" w:rsidP="00F96EA3">
      <w:pPr>
        <w:pStyle w:val="Tekstpodstawowy2"/>
        <w:numPr>
          <w:ilvl w:val="0"/>
          <w:numId w:val="13"/>
        </w:numPr>
        <w:spacing w:before="120" w:after="120"/>
        <w:ind w:hanging="502"/>
        <w:jc w:val="left"/>
        <w:rPr>
          <w:rFonts w:ascii="Lato" w:hAnsi="Lato"/>
          <w:bCs/>
          <w:szCs w:val="22"/>
        </w:rPr>
      </w:pPr>
      <w:r w:rsidRPr="00C4545D">
        <w:rPr>
          <w:rFonts w:ascii="Lato" w:hAnsi="Lato"/>
          <w:bCs/>
          <w:szCs w:val="22"/>
        </w:rPr>
        <w:t xml:space="preserve">Odpady i pozostałości powstałe w wyniku zniszczenia towarów objętych procedurą końcowego przeznaczenia uznaje się za objęte procedurą składowania celnego. Należy je wpisać do ewidencji dla </w:t>
      </w:r>
      <w:r w:rsidR="005A7FD9">
        <w:rPr>
          <w:rFonts w:ascii="Lato" w:hAnsi="Lato"/>
          <w:bCs/>
          <w:szCs w:val="22"/>
        </w:rPr>
        <w:t xml:space="preserve">procedury </w:t>
      </w:r>
      <w:r w:rsidRPr="00C4545D">
        <w:rPr>
          <w:rFonts w:ascii="Lato" w:hAnsi="Lato"/>
          <w:bCs/>
          <w:szCs w:val="22"/>
        </w:rPr>
        <w:t>składowania celnego</w:t>
      </w:r>
      <w:r w:rsidR="00AF2240">
        <w:rPr>
          <w:rFonts w:ascii="Lato" w:hAnsi="Lato"/>
          <w:bCs/>
          <w:szCs w:val="22"/>
        </w:rPr>
        <w:t xml:space="preserve"> (art. 254 ust. 7 UKC)</w:t>
      </w:r>
      <w:r w:rsidRPr="00C4545D">
        <w:rPr>
          <w:rFonts w:ascii="Lato" w:hAnsi="Lato"/>
          <w:bCs/>
          <w:szCs w:val="22"/>
        </w:rPr>
        <w:t xml:space="preserve">, którą musi prowadzić posiadacz pozwolenia na stosowanie procedury końcowego przeznaczenia. </w:t>
      </w:r>
      <w:r w:rsidR="00982440">
        <w:rPr>
          <w:rFonts w:ascii="Lato" w:hAnsi="Lato"/>
          <w:bCs/>
          <w:szCs w:val="22"/>
        </w:rPr>
        <w:br/>
      </w:r>
      <w:r w:rsidR="005A7FD9">
        <w:rPr>
          <w:rFonts w:ascii="Lato" w:hAnsi="Lato"/>
          <w:bCs/>
          <w:szCs w:val="22"/>
        </w:rPr>
        <w:t>W takim przypadku n</w:t>
      </w:r>
      <w:r w:rsidRPr="00C4545D">
        <w:rPr>
          <w:rFonts w:ascii="Lato" w:hAnsi="Lato"/>
          <w:bCs/>
          <w:szCs w:val="22"/>
        </w:rPr>
        <w:t>ie jest konieczne</w:t>
      </w:r>
      <w:r w:rsidR="005A7FD9">
        <w:rPr>
          <w:rFonts w:ascii="Lato" w:hAnsi="Lato"/>
          <w:bCs/>
          <w:szCs w:val="22"/>
        </w:rPr>
        <w:t xml:space="preserve"> uzyskanie</w:t>
      </w:r>
      <w:r w:rsidRPr="00C4545D">
        <w:rPr>
          <w:rFonts w:ascii="Lato" w:hAnsi="Lato"/>
          <w:bCs/>
          <w:szCs w:val="22"/>
        </w:rPr>
        <w:t xml:space="preserve"> pozwoleni</w:t>
      </w:r>
      <w:r w:rsidR="005A7FD9">
        <w:rPr>
          <w:rFonts w:ascii="Lato" w:hAnsi="Lato"/>
          <w:bCs/>
          <w:szCs w:val="22"/>
        </w:rPr>
        <w:t>a</w:t>
      </w:r>
      <w:r w:rsidRPr="00C4545D">
        <w:rPr>
          <w:rFonts w:ascii="Lato" w:hAnsi="Lato"/>
          <w:bCs/>
          <w:szCs w:val="22"/>
        </w:rPr>
        <w:t xml:space="preserve"> na prowadzenie</w:t>
      </w:r>
      <w:r w:rsidR="005A7FD9">
        <w:rPr>
          <w:rFonts w:ascii="Lato" w:hAnsi="Lato"/>
          <w:bCs/>
          <w:szCs w:val="22"/>
        </w:rPr>
        <w:t xml:space="preserve"> składu celnego</w:t>
      </w:r>
      <w:r w:rsidRPr="00C4545D">
        <w:rPr>
          <w:rFonts w:ascii="Lato" w:hAnsi="Lato"/>
          <w:bCs/>
          <w:szCs w:val="22"/>
        </w:rPr>
        <w:t>.</w:t>
      </w:r>
    </w:p>
    <w:p w14:paraId="4A235346" w14:textId="650F92F6" w:rsidR="007177C6" w:rsidRPr="00C4545D" w:rsidRDefault="007177C6" w:rsidP="00C4545D">
      <w:pPr>
        <w:pStyle w:val="Nagwek1"/>
        <w:jc w:val="left"/>
        <w:rPr>
          <w:rFonts w:ascii="Lato" w:hAnsi="Lato"/>
        </w:rPr>
      </w:pPr>
      <w:bookmarkStart w:id="30" w:name="_Toc461616113"/>
      <w:bookmarkStart w:id="31" w:name="_Toc302717074"/>
      <w:bookmarkStart w:id="32" w:name="_Toc459797913"/>
      <w:r w:rsidRPr="00C4545D">
        <w:rPr>
          <w:rFonts w:ascii="Lato" w:hAnsi="Lato"/>
        </w:rPr>
        <w:t>Końcowe przeznaczenie cywilnych statków powietrznych</w:t>
      </w:r>
      <w:bookmarkEnd w:id="30"/>
      <w:r w:rsidRPr="00C4545D">
        <w:rPr>
          <w:rFonts w:ascii="Lato" w:hAnsi="Lato"/>
        </w:rPr>
        <w:t xml:space="preserve"> </w:t>
      </w:r>
      <w:bookmarkEnd w:id="31"/>
      <w:bookmarkEnd w:id="32"/>
    </w:p>
    <w:p w14:paraId="483E817E" w14:textId="77777777" w:rsidR="007177C6" w:rsidRPr="00C4545D" w:rsidRDefault="007177C6" w:rsidP="00F96EA3">
      <w:pPr>
        <w:pStyle w:val="Tekstpodstawowy2"/>
        <w:numPr>
          <w:ilvl w:val="0"/>
          <w:numId w:val="13"/>
        </w:numPr>
        <w:spacing w:before="120" w:after="120"/>
        <w:ind w:hanging="502"/>
        <w:jc w:val="left"/>
        <w:rPr>
          <w:rFonts w:ascii="Lato" w:hAnsi="Lato"/>
          <w:szCs w:val="24"/>
        </w:rPr>
      </w:pPr>
      <w:r w:rsidRPr="00C4545D">
        <w:rPr>
          <w:rFonts w:ascii="Lato" w:hAnsi="Lato"/>
          <w:bCs/>
          <w:szCs w:val="22"/>
        </w:rPr>
        <w:t xml:space="preserve">Data pierwszej rejestracji samolotu cywilnego w jakimkolwiek kraju na świecie jest równoznaczna z osiągnięciem przeznaczenia końcowego. </w:t>
      </w:r>
      <w:r w:rsidR="00E046CA" w:rsidRPr="00C4545D">
        <w:rPr>
          <w:rFonts w:ascii="Lato" w:hAnsi="Lato"/>
          <w:bCs/>
          <w:szCs w:val="22"/>
        </w:rPr>
        <w:t xml:space="preserve">Do tego momentu </w:t>
      </w:r>
      <w:r w:rsidRPr="00C4545D">
        <w:rPr>
          <w:rFonts w:ascii="Lato" w:hAnsi="Lato"/>
          <w:bCs/>
          <w:szCs w:val="22"/>
        </w:rPr>
        <w:t>procedura końcowego przeznaczenia ma zastosowanie, co oznacza, że podmiot importujący towa</w:t>
      </w:r>
      <w:r w:rsidRPr="00C4545D">
        <w:rPr>
          <w:rFonts w:ascii="Lato" w:hAnsi="Lato"/>
          <w:bCs/>
          <w:szCs w:val="24"/>
        </w:rPr>
        <w:t>r musi uzyskać pozwolenie.</w:t>
      </w:r>
      <w:r w:rsidR="0029352B" w:rsidRPr="00C4545D">
        <w:rPr>
          <w:rFonts w:ascii="Lato" w:hAnsi="Lato"/>
        </w:rPr>
        <w:t xml:space="preserve"> </w:t>
      </w:r>
      <w:r w:rsidR="00BD6106" w:rsidRPr="00C4545D">
        <w:rPr>
          <w:rFonts w:ascii="Lato" w:hAnsi="Lato"/>
        </w:rPr>
        <w:t xml:space="preserve">Pozwolenie nie jest </w:t>
      </w:r>
      <w:r w:rsidR="00BD6106" w:rsidRPr="00C4545D">
        <w:rPr>
          <w:rFonts w:ascii="Lato" w:hAnsi="Lato"/>
          <w:bCs/>
          <w:szCs w:val="24"/>
        </w:rPr>
        <w:t xml:space="preserve">wymagane w sytuacji, gdy już w momencie przywozu </w:t>
      </w:r>
      <w:r w:rsidR="0029352B" w:rsidRPr="00C4545D">
        <w:rPr>
          <w:rFonts w:ascii="Lato" w:hAnsi="Lato"/>
          <w:bCs/>
          <w:szCs w:val="24"/>
        </w:rPr>
        <w:t>cywilny statek powietrzny został poprawnie wpisany do rejestru państwa członkowskiego lub państwa trzeciego zgodnie z konwencją o międzynarodowym lotnictwie cywilnym z dnia 7 grudnia 1944 r. i w zgłoszeniu do dopuszczenia do obrotu znajduje się odniesienie do odpow</w:t>
      </w:r>
      <w:r w:rsidR="00BD6106" w:rsidRPr="00C4545D">
        <w:rPr>
          <w:rFonts w:ascii="Lato" w:hAnsi="Lato"/>
          <w:bCs/>
          <w:szCs w:val="24"/>
        </w:rPr>
        <w:t>iedniego świadectwa rejestracji</w:t>
      </w:r>
      <w:r w:rsidR="0029352B" w:rsidRPr="00C4545D">
        <w:rPr>
          <w:rFonts w:ascii="Lato" w:hAnsi="Lato"/>
          <w:bCs/>
          <w:szCs w:val="24"/>
        </w:rPr>
        <w:t>.</w:t>
      </w:r>
    </w:p>
    <w:p w14:paraId="20FA892E" w14:textId="77777777" w:rsidR="000C20D0" w:rsidRPr="00C4545D" w:rsidRDefault="000C20D0" w:rsidP="00C4545D">
      <w:pPr>
        <w:pStyle w:val="Nagwek1"/>
        <w:jc w:val="left"/>
        <w:rPr>
          <w:rFonts w:ascii="Lato" w:hAnsi="Lato"/>
        </w:rPr>
      </w:pPr>
      <w:r w:rsidRPr="00C4545D">
        <w:rPr>
          <w:rFonts w:ascii="Lato" w:hAnsi="Lato"/>
        </w:rPr>
        <w:t>Przedstawicielstwo</w:t>
      </w:r>
    </w:p>
    <w:p w14:paraId="6EBC13AA" w14:textId="18EB56F1" w:rsidR="000C20D0" w:rsidRPr="005D7518" w:rsidRDefault="006B1DAD" w:rsidP="00F96EA3">
      <w:pPr>
        <w:pStyle w:val="Akapitzlist"/>
        <w:numPr>
          <w:ilvl w:val="0"/>
          <w:numId w:val="13"/>
        </w:numPr>
        <w:tabs>
          <w:tab w:val="left" w:pos="567"/>
        </w:tabs>
        <w:spacing w:before="120" w:after="120"/>
        <w:ind w:hanging="502"/>
        <w:rPr>
          <w:rFonts w:ascii="Lato" w:hAnsi="Lato"/>
          <w:sz w:val="24"/>
          <w:u w:val="single"/>
        </w:rPr>
      </w:pPr>
      <w:r w:rsidRPr="005D7518">
        <w:rPr>
          <w:rFonts w:ascii="Lato" w:hAnsi="Lato"/>
        </w:rPr>
        <w:t>Z</w:t>
      </w:r>
      <w:r w:rsidR="000C20D0" w:rsidRPr="005D7518">
        <w:rPr>
          <w:rFonts w:ascii="Lato" w:hAnsi="Lato"/>
        </w:rPr>
        <w:t xml:space="preserve">głoszenie towarów do procedury </w:t>
      </w:r>
      <w:r w:rsidRPr="005D7518">
        <w:rPr>
          <w:rFonts w:ascii="Lato" w:hAnsi="Lato"/>
        </w:rPr>
        <w:t>końcowego przeznaczenia</w:t>
      </w:r>
      <w:r w:rsidR="000C20D0" w:rsidRPr="005D7518">
        <w:rPr>
          <w:rFonts w:ascii="Lato" w:hAnsi="Lato"/>
        </w:rPr>
        <w:t xml:space="preserve"> może zostać złożone albo przez posiadacza pozwolenia (we własnym imieniu i na własną rzecz), albo przez jego przedstawiciela bezpośredniego (w imieniu i na rzecz posiadacza pozwolenia).</w:t>
      </w:r>
      <w:r w:rsidRPr="005D7518">
        <w:rPr>
          <w:rFonts w:ascii="Lato" w:hAnsi="Lato"/>
        </w:rPr>
        <w:t xml:space="preserve"> Oznacza to, że przedstawicielstwo pośrednie nie jest</w:t>
      </w:r>
      <w:r w:rsidRPr="005D7518">
        <w:rPr>
          <w:rFonts w:ascii="Lato" w:hAnsi="Lato"/>
          <w:color w:val="808080"/>
        </w:rPr>
        <w:t xml:space="preserve"> </w:t>
      </w:r>
      <w:r w:rsidRPr="005D7518">
        <w:rPr>
          <w:rFonts w:ascii="Lato" w:hAnsi="Lato"/>
        </w:rPr>
        <w:t xml:space="preserve">możliwe w odniesieniu do zgłoszenia do procedury końcowego przeznaczenia ponieważ korzystający z tej procedury musi być posiadaczem pozwolenia na tę procedurę (czyli korzystający z procedury i posiadacz pozwolenia muszą być tą samą osobą). W przypadku zaś przedstawicielstwa pośredniego korzystający z procedury i posiadacz pozwolenia będą różnymi osobami. </w:t>
      </w:r>
    </w:p>
    <w:p w14:paraId="404B54E6" w14:textId="77777777" w:rsidR="00DF1E8A" w:rsidRPr="00C4545D" w:rsidRDefault="00DF1E8A" w:rsidP="00C4545D">
      <w:pPr>
        <w:spacing w:before="120" w:after="120"/>
        <w:rPr>
          <w:rFonts w:ascii="Lato" w:hAnsi="Lato"/>
          <w:color w:val="404040"/>
        </w:rPr>
      </w:pPr>
    </w:p>
    <w:sectPr w:rsidR="00DF1E8A" w:rsidRPr="00C4545D" w:rsidSect="00683818">
      <w:footerReference w:type="even" r:id="rId15"/>
      <w:footerReference w:type="default" r:id="rId16"/>
      <w:headerReference w:type="first" r:id="rId17"/>
      <w:footerReference w:type="first" r:id="rId18"/>
      <w:pgSz w:w="11900" w:h="16840"/>
      <w:pgMar w:top="1701" w:right="1134" w:bottom="1701"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D2576" w14:textId="77777777" w:rsidR="00F37A28" w:rsidRDefault="00F37A28">
      <w:r>
        <w:separator/>
      </w:r>
    </w:p>
  </w:endnote>
  <w:endnote w:type="continuationSeparator" w:id="0">
    <w:p w14:paraId="53088356" w14:textId="77777777" w:rsidR="00F37A28" w:rsidRDefault="00F37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imesNewRomanPSMT">
    <w:altName w:val="Arial"/>
    <w:panose1 w:val="00000000000000000000"/>
    <w:charset w:val="00"/>
    <w:family w:val="swiss"/>
    <w:notTrueType/>
    <w:pitch w:val="default"/>
    <w:sig w:usb0="00000003" w:usb1="00000000" w:usb2="00000000" w:usb3="00000000" w:csb0="00000003" w:csb1="00000000"/>
  </w:font>
  <w:font w:name="Lato">
    <w:panose1 w:val="020F0502020204030203"/>
    <w:charset w:val="EE"/>
    <w:family w:val="swiss"/>
    <w:pitch w:val="variable"/>
    <w:sig w:usb0="800000AF" w:usb1="4000604A"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349BE" w14:textId="77777777" w:rsidR="00EC3682" w:rsidRDefault="00EC3682" w:rsidP="000F60BF">
    <w:pPr>
      <w:pStyle w:val="Stopka"/>
      <w:framePr w:wrap="around" w:vAnchor="text" w:hAnchor="margin" w:y="1"/>
      <w:rPr>
        <w:rStyle w:val="Numerstrony"/>
      </w:rPr>
    </w:pPr>
    <w:r>
      <w:rPr>
        <w:rStyle w:val="Numerstrony"/>
      </w:rPr>
      <w:fldChar w:fldCharType="begin"/>
    </w:r>
    <w:r>
      <w:rPr>
        <w:rStyle w:val="Numerstrony"/>
      </w:rPr>
      <w:instrText xml:space="preserve">PAGE  </w:instrText>
    </w:r>
    <w:r>
      <w:rPr>
        <w:rStyle w:val="Numerstrony"/>
      </w:rPr>
      <w:fldChar w:fldCharType="end"/>
    </w:r>
  </w:p>
  <w:p w14:paraId="5830E87F" w14:textId="77777777" w:rsidR="00EC3682" w:rsidRDefault="00EC3682" w:rsidP="00EC3682">
    <w:pPr>
      <w:pStyle w:val="Stopk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F061F" w14:textId="77777777" w:rsidR="009C4784" w:rsidRPr="009C4784" w:rsidRDefault="009C4784">
    <w:pPr>
      <w:pStyle w:val="Stopka"/>
      <w:jc w:val="right"/>
    </w:pPr>
    <w:r w:rsidRPr="009C4784">
      <w:fldChar w:fldCharType="begin"/>
    </w:r>
    <w:r w:rsidRPr="009C4784">
      <w:instrText>PAGE   \* MERGEFORMAT</w:instrText>
    </w:r>
    <w:r w:rsidRPr="009C4784">
      <w:fldChar w:fldCharType="separate"/>
    </w:r>
    <w:r w:rsidR="002A1756">
      <w:rPr>
        <w:noProof/>
      </w:rPr>
      <w:t>2</w:t>
    </w:r>
    <w:r w:rsidRPr="009C4784">
      <w:fldChar w:fldCharType="end"/>
    </w:r>
  </w:p>
  <w:p w14:paraId="5B1AA7EE" w14:textId="77777777" w:rsidR="006C13FF" w:rsidRPr="006C13FF" w:rsidRDefault="006C13F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70A8B" w14:textId="4EB59D68" w:rsidR="003B094D" w:rsidRDefault="00671986">
    <w:pPr>
      <w:pStyle w:val="Stopka"/>
    </w:pPr>
    <w:r>
      <w:rPr>
        <w:noProof/>
        <w:lang w:eastAsia="pl-PL"/>
      </w:rPr>
      <mc:AlternateContent>
        <mc:Choice Requires="wps">
          <w:drawing>
            <wp:anchor distT="0" distB="0" distL="114300" distR="114300" simplePos="0" relativeHeight="251655680" behindDoc="0" locked="0" layoutInCell="1" allowOverlap="1" wp14:anchorId="69FC005A" wp14:editId="5CE6B088">
              <wp:simplePos x="0" y="0"/>
              <wp:positionH relativeFrom="column">
                <wp:posOffset>69988</wp:posOffset>
              </wp:positionH>
              <wp:positionV relativeFrom="paragraph">
                <wp:posOffset>175895</wp:posOffset>
              </wp:positionV>
              <wp:extent cx="5907405" cy="291465"/>
              <wp:effectExtent l="2540" t="4445"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F3077" w14:textId="77777777" w:rsidR="00683818" w:rsidRPr="002818CD" w:rsidRDefault="00260E1A" w:rsidP="006E60DB">
                          <w:pPr>
                            <w:rPr>
                              <w:szCs w:val="12"/>
                            </w:rPr>
                          </w:pPr>
                          <w:r w:rsidRPr="001C5EA9">
                            <w:rPr>
                              <w:rFonts w:ascii="Arial" w:hAnsi="Arial" w:cs="Arial"/>
                              <w:noProof/>
                              <w:color w:val="919195"/>
                              <w:sz w:val="16"/>
                              <w:szCs w:val="12"/>
                              <w:lang w:eastAsia="pl-PL"/>
                            </w:rPr>
                            <w:drawing>
                              <wp:inline distT="0" distB="0" distL="0" distR="0" wp14:anchorId="3B646652" wp14:editId="5C53E4A9">
                                <wp:extent cx="6973740" cy="283210"/>
                                <wp:effectExtent l="0" t="0" r="0" b="0"/>
                                <wp:docPr id="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3740" cy="283210"/>
                                        </a:xfrm>
                                        <a:prstGeom prst="rect">
                                          <a:avLst/>
                                        </a:prstGeom>
                                        <a:noFill/>
                                        <a:ln>
                                          <a:noFill/>
                                        </a:ln>
                                      </pic:spPr>
                                    </pic:pic>
                                  </a:graphicData>
                                </a:graphic>
                              </wp:inline>
                            </w:drawing>
                          </w:r>
                          <w:r w:rsidR="006E60DB">
                            <w:rPr>
                              <w:rFonts w:ascii="Arial" w:hAnsi="Arial" w:cs="Arial"/>
                              <w:color w:val="919195"/>
                              <w:sz w:val="16"/>
                              <w:szCs w:val="12"/>
                            </w:rPr>
                            <w:br/>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FC005A" id="_x0000_t202" coordsize="21600,21600" o:spt="202" path="m,l,21600r21600,l21600,xe">
              <v:stroke joinstyle="miter"/>
              <v:path gradientshapeok="t" o:connecttype="rect"/>
            </v:shapetype>
            <v:shape id="Text Box 21" o:spid="_x0000_s1028" type="#_x0000_t202" style="position:absolute;margin-left:5.5pt;margin-top:13.85pt;width:465.15pt;height:22.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" filled="f" stroked="f">
              <v:textbox inset="0,0,0,0">
                <w:txbxContent>
                  <w:p w14:paraId="6D6F3077" w14:textId="77777777" w:rsidR="00683818" w:rsidRPr="002818CD" w:rsidRDefault="00260E1A" w:rsidP="006E60DB">
                    <w:pPr>
                      <w:rPr>
                        <w:szCs w:val="12"/>
                      </w:rPr>
                    </w:pPr>
                    <w:r w:rsidRPr="001C5EA9">
                      <w:rPr>
                        <w:rFonts w:ascii="Arial" w:hAnsi="Arial" w:cs="Arial"/>
                        <w:noProof/>
                        <w:color w:val="919195"/>
                        <w:sz w:val="16"/>
                        <w:szCs w:val="12"/>
                        <w:lang w:eastAsia="pl-PL"/>
                      </w:rPr>
                      <w:drawing>
                        <wp:inline distT="0" distB="0" distL="0" distR="0" wp14:anchorId="3B646652" wp14:editId="5C53E4A9">
                          <wp:extent cx="6973740" cy="283210"/>
                          <wp:effectExtent l="0" t="0" r="0" b="0"/>
                          <wp:docPr id="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3740" cy="283210"/>
                                  </a:xfrm>
                                  <a:prstGeom prst="rect">
                                    <a:avLst/>
                                  </a:prstGeom>
                                  <a:noFill/>
                                  <a:ln>
                                    <a:noFill/>
                                  </a:ln>
                                </pic:spPr>
                              </pic:pic>
                            </a:graphicData>
                          </a:graphic>
                        </wp:inline>
                      </w:drawing>
                    </w:r>
                    <w:r w:rsidR="006E60DB">
                      <w:rPr>
                        <w:rFonts w:ascii="Arial" w:hAnsi="Arial" w:cs="Arial"/>
                        <w:color w:val="919195"/>
                        <w:sz w:val="16"/>
                        <w:szCs w:val="12"/>
                      </w:rPr>
                      <w:br/>
                    </w:r>
                  </w:p>
                </w:txbxContent>
              </v:textbox>
            </v:shape>
          </w:pict>
        </mc:Fallback>
      </mc:AlternateContent>
    </w:r>
    <w:r w:rsidR="00260E1A">
      <w:rPr>
        <w:noProof/>
        <w:lang w:eastAsia="pl-PL"/>
      </w:rPr>
      <mc:AlternateContent>
        <mc:Choice Requires="wps">
          <w:drawing>
            <wp:anchor distT="0" distB="0" distL="114300" distR="114300" simplePos="0" relativeHeight="251658752" behindDoc="0" locked="0" layoutInCell="1" allowOverlap="1" wp14:anchorId="1C89E078" wp14:editId="70752A31">
              <wp:simplePos x="0" y="0"/>
              <wp:positionH relativeFrom="column">
                <wp:posOffset>69388</wp:posOffset>
              </wp:positionH>
              <wp:positionV relativeFrom="paragraph">
                <wp:posOffset>-516601</wp:posOffset>
              </wp:positionV>
              <wp:extent cx="5876232" cy="457200"/>
              <wp:effectExtent l="0" t="0" r="0" b="0"/>
              <wp:wrapNone/>
              <wp:docPr id="3"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32"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4E67E5" w14:textId="4DCC0C68" w:rsidR="00F7124C" w:rsidRPr="00C4545D" w:rsidRDefault="00F7124C" w:rsidP="00F7124C">
                          <w:pPr>
                            <w:jc w:val="center"/>
                            <w:rPr>
                              <w:rFonts w:ascii="Lato" w:hAnsi="Lato" w:cs="Arial"/>
                              <w:color w:val="000000"/>
                              <w:sz w:val="28"/>
                              <w:szCs w:val="28"/>
                            </w:rPr>
                          </w:pPr>
                          <w:r w:rsidRPr="00C4545D">
                            <w:rPr>
                              <w:rFonts w:ascii="Lato" w:hAnsi="Lato" w:cs="Arial"/>
                              <w:color w:val="000000"/>
                              <w:sz w:val="28"/>
                              <w:szCs w:val="28"/>
                            </w:rPr>
                            <w:t>Warszawa</w:t>
                          </w:r>
                          <w:r w:rsidR="00797386" w:rsidRPr="00C4545D">
                            <w:rPr>
                              <w:rFonts w:ascii="Lato" w:hAnsi="Lato" w:cs="Arial"/>
                              <w:color w:val="000000"/>
                              <w:sz w:val="28"/>
                              <w:szCs w:val="28"/>
                            </w:rPr>
                            <w:t xml:space="preserve">, </w:t>
                          </w:r>
                          <w:r w:rsidR="00C4545D">
                            <w:rPr>
                              <w:rFonts w:ascii="Lato" w:hAnsi="Lato" w:cs="Arial"/>
                              <w:color w:val="000000"/>
                              <w:sz w:val="28"/>
                              <w:szCs w:val="28"/>
                            </w:rPr>
                            <w:t>wrzesień 2025</w:t>
                          </w:r>
                        </w:p>
                        <w:p w14:paraId="18F4974F" w14:textId="77777777" w:rsidR="00F7124C" w:rsidRDefault="00F712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9E078" id="Text Box 57" o:spid="_x0000_s1029" type="#_x0000_t202" style="position:absolute;margin-left:5.45pt;margin-top:-40.7pt;width:462.7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" stroked="f">
              <v:textbox>
                <w:txbxContent>
                  <w:p w14:paraId="564E67E5" w14:textId="4DCC0C68" w:rsidR="00F7124C" w:rsidRPr="00C4545D" w:rsidRDefault="00F7124C" w:rsidP="00F7124C">
                    <w:pPr>
                      <w:jc w:val="center"/>
                      <w:rPr>
                        <w:rFonts w:ascii="Lato" w:hAnsi="Lato" w:cs="Arial"/>
                        <w:color w:val="000000"/>
                        <w:sz w:val="28"/>
                        <w:szCs w:val="28"/>
                      </w:rPr>
                    </w:pPr>
                    <w:r w:rsidRPr="00C4545D">
                      <w:rPr>
                        <w:rFonts w:ascii="Lato" w:hAnsi="Lato" w:cs="Arial"/>
                        <w:color w:val="000000"/>
                        <w:sz w:val="28"/>
                        <w:szCs w:val="28"/>
                      </w:rPr>
                      <w:t>Warszawa</w:t>
                    </w:r>
                    <w:r w:rsidR="00797386" w:rsidRPr="00C4545D">
                      <w:rPr>
                        <w:rFonts w:ascii="Lato" w:hAnsi="Lato" w:cs="Arial"/>
                        <w:color w:val="000000"/>
                        <w:sz w:val="28"/>
                        <w:szCs w:val="28"/>
                      </w:rPr>
                      <w:t xml:space="preserve">, </w:t>
                    </w:r>
                    <w:r w:rsidR="00C4545D">
                      <w:rPr>
                        <w:rFonts w:ascii="Lato" w:hAnsi="Lato" w:cs="Arial"/>
                        <w:color w:val="000000"/>
                        <w:sz w:val="28"/>
                        <w:szCs w:val="28"/>
                      </w:rPr>
                      <w:t>wrzesień 2025</w:t>
                    </w:r>
                  </w:p>
                  <w:p w14:paraId="18F4974F" w14:textId="77777777" w:rsidR="00F7124C" w:rsidRDefault="00F7124C"/>
                </w:txbxContent>
              </v:textbox>
            </v:shape>
          </w:pict>
        </mc:Fallback>
      </mc:AlternateContent>
    </w:r>
    <w:r w:rsidR="00260E1A">
      <w:rPr>
        <w:noProof/>
        <w:lang w:eastAsia="pl-PL"/>
      </w:rPr>
      <mc:AlternateContent>
        <mc:Choice Requires="wps">
          <w:drawing>
            <wp:anchor distT="0" distB="0" distL="114300" distR="114300" simplePos="0" relativeHeight="251656704" behindDoc="0" locked="0" layoutInCell="1" allowOverlap="1" wp14:anchorId="59E08865" wp14:editId="4C7D812E">
              <wp:simplePos x="0" y="0"/>
              <wp:positionH relativeFrom="column">
                <wp:posOffset>-6350</wp:posOffset>
              </wp:positionH>
              <wp:positionV relativeFrom="paragraph">
                <wp:posOffset>113665</wp:posOffset>
              </wp:positionV>
              <wp:extent cx="5906770" cy="0"/>
              <wp:effectExtent l="12700" t="18415" r="14605" b="10160"/>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6770" cy="0"/>
                      </a:xfrm>
                      <a:prstGeom prst="straightConnector1">
                        <a:avLst/>
                      </a:prstGeom>
                      <a:noFill/>
                      <a:ln w="19050">
                        <a:solidFill>
                          <a:srgbClr val="C9CA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8DE714" id="_x0000_t32" coordsize="21600,21600" o:spt="32" o:oned="t" path="m,l21600,21600e" filled="f">
              <v:path arrowok="t" fillok="f" o:connecttype="none"/>
              <o:lock v:ext="edit" shapetype="t"/>
            </v:shapetype>
            <v:shape id="AutoShape 22" o:spid="_x0000_s1026" type="#_x0000_t32" style="position:absolute;margin-left:-.5pt;margin-top:8.95pt;width:465.1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" strokecolor="#c9cacc" strokeweight="1.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ED317" w14:textId="77777777" w:rsidR="00F37A28" w:rsidRDefault="00F37A28">
      <w:r>
        <w:separator/>
      </w:r>
    </w:p>
  </w:footnote>
  <w:footnote w:type="continuationSeparator" w:id="0">
    <w:p w14:paraId="79D9D803" w14:textId="77777777" w:rsidR="00F37A28" w:rsidRDefault="00F37A28">
      <w:r>
        <w:continuationSeparator/>
      </w:r>
    </w:p>
  </w:footnote>
  <w:footnote w:id="1">
    <w:p w14:paraId="21A2BCCD" w14:textId="77777777" w:rsidR="00DF1E8A" w:rsidRDefault="00DF1E8A">
      <w:pPr>
        <w:pStyle w:val="Tekstprzypisudolnego"/>
      </w:pPr>
      <w:r>
        <w:rPr>
          <w:rStyle w:val="Odwoanieprzypisudolnego"/>
        </w:rPr>
        <w:footnoteRef/>
      </w:r>
      <w:r>
        <w:t xml:space="preserve"> Pozwolenie TORO stanowi załącznik 2 do niniejszego materiału.</w:t>
      </w:r>
    </w:p>
  </w:footnote>
  <w:footnote w:id="2">
    <w:p w14:paraId="7B31D8EA" w14:textId="77777777" w:rsidR="00DF1E8A" w:rsidRDefault="00DF1E8A">
      <w:pPr>
        <w:pStyle w:val="Tekstprzypisudolnego"/>
      </w:pPr>
      <w:r>
        <w:rPr>
          <w:rStyle w:val="Odwoanieprzypisudolnego"/>
        </w:rPr>
        <w:footnoteRef/>
      </w:r>
      <w:r>
        <w:t xml:space="preserve"> W</w:t>
      </w:r>
      <w:r w:rsidRPr="00DF1E8A">
        <w:t>niosek o udzielenie Pozwolenia TORO</w:t>
      </w:r>
      <w:r>
        <w:t xml:space="preserve"> stanowi załącznik </w:t>
      </w:r>
      <w:r w:rsidR="006C524F">
        <w:t>1</w:t>
      </w:r>
      <w:r>
        <w:t xml:space="preserve"> do niniejszego materiału.</w:t>
      </w:r>
    </w:p>
  </w:footnote>
  <w:footnote w:id="3">
    <w:p w14:paraId="425B7E0C" w14:textId="77777777" w:rsidR="00DF1E8A" w:rsidRDefault="00DF1E8A">
      <w:pPr>
        <w:pStyle w:val="Tekstprzypisudolnego"/>
      </w:pPr>
      <w:r>
        <w:rPr>
          <w:rStyle w:val="Odwoanieprzypisudolnego"/>
        </w:rPr>
        <w:footnoteRef/>
      </w:r>
      <w:r>
        <w:t xml:space="preserve"> Formularz TORO stanowi załącznik 3 do niniejszego materiału.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E1DD4" w14:textId="77777777" w:rsidR="003B094D" w:rsidRDefault="00260E1A">
    <w:pPr>
      <w:pStyle w:val="Nagwek"/>
    </w:pPr>
    <w:r>
      <w:rPr>
        <w:noProof/>
        <w:lang w:eastAsia="pl-PL"/>
      </w:rPr>
      <w:drawing>
        <wp:anchor distT="0" distB="0" distL="114300" distR="114300" simplePos="0" relativeHeight="251660800" behindDoc="1" locked="0" layoutInCell="1" allowOverlap="1" wp14:anchorId="7BE484EF" wp14:editId="08CCC94D">
          <wp:simplePos x="0" y="0"/>
          <wp:positionH relativeFrom="column">
            <wp:posOffset>247650</wp:posOffset>
          </wp:positionH>
          <wp:positionV relativeFrom="paragraph">
            <wp:posOffset>706120</wp:posOffset>
          </wp:positionV>
          <wp:extent cx="2076450" cy="1371600"/>
          <wp:effectExtent l="0" t="0" r="0" b="0"/>
          <wp:wrapNone/>
          <wp:docPr id="60" name="Obraz 13" descr="C:\Users\pkusmierski\AppData\Local\Microsoft\Windows\INetCache\Content.Word\KAS 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descr="C:\Users\pkusmierski\AppData\Local\Microsoft\Windows\INetCache\Content.Word\KAS A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9776" behindDoc="1" locked="0" layoutInCell="1" allowOverlap="1" wp14:anchorId="335347D8" wp14:editId="1CF7FE24">
          <wp:simplePos x="0" y="0"/>
          <wp:positionH relativeFrom="page">
            <wp:posOffset>9525</wp:posOffset>
          </wp:positionH>
          <wp:positionV relativeFrom="paragraph">
            <wp:posOffset>-709930</wp:posOffset>
          </wp:positionV>
          <wp:extent cx="932815" cy="11422380"/>
          <wp:effectExtent l="0" t="0" r="635" b="7620"/>
          <wp:wrapNone/>
          <wp:docPr id="59"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815" cy="114223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mc:AlternateContent>
        <mc:Choice Requires="wps">
          <w:drawing>
            <wp:anchor distT="0" distB="0" distL="114300" distR="114300" simplePos="0" relativeHeight="251657728" behindDoc="0" locked="1" layoutInCell="1" allowOverlap="1" wp14:anchorId="70DD684B" wp14:editId="78F6EE71">
              <wp:simplePos x="0" y="0"/>
              <wp:positionH relativeFrom="column">
                <wp:posOffset>1676400</wp:posOffset>
              </wp:positionH>
              <wp:positionV relativeFrom="paragraph">
                <wp:posOffset>629920</wp:posOffset>
              </wp:positionV>
              <wp:extent cx="3632200" cy="232410"/>
              <wp:effectExtent l="0" t="1270" r="0" b="0"/>
              <wp:wrapNone/>
              <wp:docPr id="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5FD51" w14:textId="77777777" w:rsidR="00655380" w:rsidRPr="00655380" w:rsidRDefault="00655380" w:rsidP="00655380">
                          <w:pPr>
                            <w:jc w:val="right"/>
                            <w:rPr>
                              <w:rFonts w:ascii="Arial" w:hAnsi="Arial" w:cs="Arial"/>
                              <w:color w:val="808080"/>
                              <w:szCs w:val="22"/>
                            </w:rPr>
                          </w:pPr>
                        </w:p>
                      </w:txbxContent>
                    </wps:txbx>
                    <wps:bodyPr rot="0" vert="horz" wrap="square" lIns="0" tIns="7200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0DD684B" id="_x0000_t202" coordsize="21600,21600" o:spt="202" path="m,l,21600r21600,l21600,xe">
              <v:stroke joinstyle="miter"/>
              <v:path gradientshapeok="t" o:connecttype="rect"/>
            </v:shapetype>
            <v:shape id="Text Box 51" o:spid="_x0000_s1026" type="#_x0000_t202" style="position:absolute;margin-left:132pt;margin-top:49.6pt;width:286pt;height:18.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" filled="f" stroked="f">
              <v:textbox style="mso-fit-shape-to-text:t" inset="0,2mm,0,0">
                <w:txbxContent>
                  <w:p w14:paraId="4505FD51" w14:textId="77777777" w:rsidR="00655380" w:rsidRPr="00655380" w:rsidRDefault="00655380" w:rsidP="00655380">
                    <w:pPr>
                      <w:jc w:val="right"/>
                      <w:rPr>
                        <w:rFonts w:ascii="Arial" w:hAnsi="Arial" w:cs="Arial"/>
                        <w:color w:val="808080"/>
                        <w:szCs w:val="22"/>
                      </w:rPr>
                    </w:pPr>
                  </w:p>
                </w:txbxContent>
              </v:textbox>
              <w10:anchorlock/>
            </v:shape>
          </w:pict>
        </mc:Fallback>
      </mc:AlternateContent>
    </w:r>
    <w:r>
      <w:rPr>
        <w:noProof/>
        <w:lang w:eastAsia="pl-PL"/>
      </w:rPr>
      <mc:AlternateContent>
        <mc:Choice Requires="wps">
          <w:drawing>
            <wp:anchor distT="0" distB="0" distL="114300" distR="114300" simplePos="0" relativeHeight="251654656" behindDoc="0" locked="0" layoutInCell="1" allowOverlap="1" wp14:anchorId="34266627" wp14:editId="4029BECF">
              <wp:simplePos x="0" y="0"/>
              <wp:positionH relativeFrom="column">
                <wp:posOffset>0</wp:posOffset>
              </wp:positionH>
              <wp:positionV relativeFrom="paragraph">
                <wp:posOffset>4058920</wp:posOffset>
              </wp:positionV>
              <wp:extent cx="5334000" cy="2057400"/>
              <wp:effectExtent l="0" t="127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5395C" w14:textId="77777777" w:rsidR="00893387" w:rsidRPr="00C4545D" w:rsidRDefault="00247860" w:rsidP="00797386">
                          <w:pPr>
                            <w:jc w:val="right"/>
                            <w:rPr>
                              <w:rFonts w:ascii="Lato" w:hAnsi="Lato"/>
                              <w:b/>
                              <w:sz w:val="40"/>
                              <w:szCs w:val="40"/>
                            </w:rPr>
                          </w:pPr>
                          <w:r w:rsidRPr="00C4545D">
                            <w:rPr>
                              <w:rFonts w:ascii="Lato" w:hAnsi="Lato"/>
                              <w:b/>
                              <w:sz w:val="40"/>
                              <w:szCs w:val="40"/>
                            </w:rPr>
                            <w:t>Procedura</w:t>
                          </w:r>
                          <w:r w:rsidRPr="00C4545D">
                            <w:rPr>
                              <w:rFonts w:ascii="Lato" w:hAnsi="Lato" w:cs="Arial"/>
                              <w:sz w:val="40"/>
                              <w:szCs w:val="40"/>
                            </w:rPr>
                            <w:t xml:space="preserve"> </w:t>
                          </w:r>
                          <w:r w:rsidR="007177C6" w:rsidRPr="00C4545D">
                            <w:rPr>
                              <w:rFonts w:ascii="Lato" w:hAnsi="Lato"/>
                              <w:b/>
                              <w:sz w:val="40"/>
                              <w:szCs w:val="40"/>
                            </w:rPr>
                            <w:t>końcowego przeznaczenia</w:t>
                          </w:r>
                        </w:p>
                        <w:p w14:paraId="13E62CCE" w14:textId="77777777" w:rsidR="00893387" w:rsidRPr="001C5EA9" w:rsidRDefault="00893387" w:rsidP="00797386">
                          <w:pPr>
                            <w:jc w:val="right"/>
                            <w:rPr>
                              <w:rFonts w:ascii="Times New Roman" w:hAnsi="Times New Roman"/>
                              <w:b/>
                              <w:sz w:val="40"/>
                              <w:szCs w:val="40"/>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266627" id="Text Box 7" o:spid="_x0000_s1027" type="#_x0000_t202" style="position:absolute;margin-left:0;margin-top:319.6pt;width:420pt;height:16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" filled="f" stroked="f">
              <v:textbox inset="0,0,0,0">
                <w:txbxContent>
                  <w:p w14:paraId="0B35395C" w14:textId="77777777" w:rsidR="00893387" w:rsidRPr="00C4545D" w:rsidRDefault="00247860" w:rsidP="00797386">
                    <w:pPr>
                      <w:jc w:val="right"/>
                      <w:rPr>
                        <w:rFonts w:ascii="Lato" w:hAnsi="Lato"/>
                        <w:b/>
                        <w:sz w:val="40"/>
                        <w:szCs w:val="40"/>
                      </w:rPr>
                    </w:pPr>
                    <w:r w:rsidRPr="00C4545D">
                      <w:rPr>
                        <w:rFonts w:ascii="Lato" w:hAnsi="Lato"/>
                        <w:b/>
                        <w:sz w:val="40"/>
                        <w:szCs w:val="40"/>
                      </w:rPr>
                      <w:t>Procedura</w:t>
                    </w:r>
                    <w:r w:rsidRPr="00C4545D">
                      <w:rPr>
                        <w:rFonts w:ascii="Lato" w:hAnsi="Lato" w:cs="Arial"/>
                        <w:sz w:val="40"/>
                        <w:szCs w:val="40"/>
                      </w:rPr>
                      <w:t xml:space="preserve"> </w:t>
                    </w:r>
                    <w:r w:rsidR="007177C6" w:rsidRPr="00C4545D">
                      <w:rPr>
                        <w:rFonts w:ascii="Lato" w:hAnsi="Lato"/>
                        <w:b/>
                        <w:sz w:val="40"/>
                        <w:szCs w:val="40"/>
                      </w:rPr>
                      <w:t>końcowego przeznaczenia</w:t>
                    </w:r>
                  </w:p>
                  <w:p w14:paraId="13E62CCE" w14:textId="77777777" w:rsidR="00893387" w:rsidRPr="001C5EA9" w:rsidRDefault="00893387" w:rsidP="00797386">
                    <w:pPr>
                      <w:jc w:val="right"/>
                      <w:rPr>
                        <w:rFonts w:ascii="Times New Roman" w:hAnsi="Times New Roman"/>
                        <w:b/>
                        <w:sz w:val="40"/>
                        <w:szCs w:val="4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79EC730"/>
    <w:multiLevelType w:val="hybridMultilevel"/>
    <w:tmpl w:val="49E46A1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7264B11"/>
    <w:multiLevelType w:val="hybridMultilevel"/>
    <w:tmpl w:val="3700E8D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26AA8"/>
    <w:multiLevelType w:val="hybridMultilevel"/>
    <w:tmpl w:val="1B66889E"/>
    <w:lvl w:ilvl="0" w:tplc="4366126A">
      <w:start w:val="1"/>
      <w:numFmt w:val="bullet"/>
      <w:lvlText w:val=""/>
      <w:lvlJc w:val="left"/>
      <w:pPr>
        <w:ind w:left="720" w:hanging="360"/>
      </w:pPr>
      <w:rPr>
        <w:rFonts w:ascii="Symbol" w:hAnsi="Symbo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0A14CF8"/>
    <w:multiLevelType w:val="hybridMultilevel"/>
    <w:tmpl w:val="39B6471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DCB4957"/>
    <w:multiLevelType w:val="hybridMultilevel"/>
    <w:tmpl w:val="C2C8F55E"/>
    <w:lvl w:ilvl="0" w:tplc="4366126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54D5984"/>
    <w:multiLevelType w:val="hybridMultilevel"/>
    <w:tmpl w:val="A60ED160"/>
    <w:lvl w:ilvl="0" w:tplc="B6D241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6B258E6"/>
    <w:multiLevelType w:val="hybridMultilevel"/>
    <w:tmpl w:val="6C545726"/>
    <w:lvl w:ilvl="0" w:tplc="DD6CFACA">
      <w:start w:val="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646DE3"/>
    <w:multiLevelType w:val="hybridMultilevel"/>
    <w:tmpl w:val="D1D094A4"/>
    <w:lvl w:ilvl="0" w:tplc="D500DD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9C25764"/>
    <w:multiLevelType w:val="hybridMultilevel"/>
    <w:tmpl w:val="B7968382"/>
    <w:lvl w:ilvl="0" w:tplc="04150001">
      <w:start w:val="1"/>
      <w:numFmt w:val="bullet"/>
      <w:lvlText w:val=""/>
      <w:lvlJc w:val="left"/>
      <w:pPr>
        <w:ind w:left="720" w:hanging="360"/>
      </w:pPr>
      <w:rPr>
        <w:rFonts w:ascii="Symbol" w:hAnsi="Symbo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F379A1"/>
    <w:multiLevelType w:val="hybridMultilevel"/>
    <w:tmpl w:val="D80285C0"/>
    <w:lvl w:ilvl="0" w:tplc="4366126A">
      <w:start w:val="1"/>
      <w:numFmt w:val="bullet"/>
      <w:lvlText w:val=""/>
      <w:lvlJc w:val="left"/>
      <w:pPr>
        <w:ind w:left="1287" w:hanging="360"/>
      </w:pPr>
      <w:rPr>
        <w:rFonts w:ascii="Symbol" w:hAnsi="Symbol" w:hint="default"/>
        <w:b/>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 w15:restartNumberingAfterBreak="0">
    <w:nsid w:val="287B39EA"/>
    <w:multiLevelType w:val="multilevel"/>
    <w:tmpl w:val="2EFE3ED4"/>
    <w:lvl w:ilvl="0">
      <w:start w:val="1"/>
      <w:numFmt w:val="decimal"/>
      <w:lvlText w:val="%1."/>
      <w:lvlJc w:val="left"/>
      <w:pPr>
        <w:ind w:left="7590" w:hanging="360"/>
      </w:pPr>
      <w:rPr>
        <w:rFonts w:hint="default"/>
        <w:b w:val="0"/>
        <w:bCs w:val="0"/>
        <w:i w:val="0"/>
        <w:iCs w:val="0"/>
        <w:caps w:val="0"/>
        <w:smallCaps w:val="0"/>
        <w:strike w:val="0"/>
        <w:dstrike w:val="0"/>
        <w:outline w:val="0"/>
        <w:shadow w:val="0"/>
        <w:emboss w:val="0"/>
        <w:imprint w:val="0"/>
        <w:noProof w:val="0"/>
        <w:vanish w:val="0"/>
        <w:color w:val="auto"/>
        <w:spacing w:val="0"/>
        <w:kern w:val="0"/>
        <w:position w:val="0"/>
        <w:sz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1.%2"/>
      <w:lvlJc w:val="left"/>
      <w:pPr>
        <w:tabs>
          <w:tab w:val="num" w:pos="851"/>
        </w:tabs>
        <w:ind w:left="0" w:firstLine="0"/>
      </w:pPr>
      <w:rPr>
        <w:rFonts w:ascii="Arial Narrow" w:hAnsi="Arial Narrow" w:hint="default"/>
        <w:color w:val="808080"/>
        <w:sz w:val="28"/>
      </w:rPr>
    </w:lvl>
    <w:lvl w:ilvl="2">
      <w:start w:val="1"/>
      <w:numFmt w:val="lowerLetter"/>
      <w:lvlText w:val="(%3)"/>
      <w:lvlJc w:val="left"/>
      <w:pPr>
        <w:tabs>
          <w:tab w:val="num" w:pos="720"/>
        </w:tabs>
        <w:ind w:left="720" w:hanging="432"/>
      </w:pPr>
      <w:rPr>
        <w:rFonts w:hint="default"/>
      </w:rPr>
    </w:lvl>
    <w:lvl w:ilvl="3">
      <w:start w:val="1"/>
      <w:numFmt w:val="lowerRoman"/>
      <w:pStyle w:val="Nagwek4"/>
      <w:lvlText w:val="(%4)"/>
      <w:lvlJc w:val="right"/>
      <w:pPr>
        <w:tabs>
          <w:tab w:val="num" w:pos="864"/>
        </w:tabs>
        <w:ind w:left="864" w:hanging="144"/>
      </w:pPr>
      <w:rPr>
        <w:rFonts w:hint="default"/>
      </w:rPr>
    </w:lvl>
    <w:lvl w:ilvl="4">
      <w:start w:val="1"/>
      <w:numFmt w:val="decimal"/>
      <w:pStyle w:val="Nagwek5"/>
      <w:lvlText w:val="%5)"/>
      <w:lvlJc w:val="left"/>
      <w:pPr>
        <w:tabs>
          <w:tab w:val="num" w:pos="1008"/>
        </w:tabs>
        <w:ind w:left="1008" w:hanging="432"/>
      </w:pPr>
      <w:rPr>
        <w:rFonts w:hint="default"/>
      </w:rPr>
    </w:lvl>
    <w:lvl w:ilvl="5">
      <w:start w:val="1"/>
      <w:numFmt w:val="lowerLetter"/>
      <w:pStyle w:val="Nagwek6"/>
      <w:lvlText w:val="%6)"/>
      <w:lvlJc w:val="left"/>
      <w:pPr>
        <w:tabs>
          <w:tab w:val="num" w:pos="1152"/>
        </w:tabs>
        <w:ind w:left="1152" w:hanging="432"/>
      </w:pPr>
      <w:rPr>
        <w:rFonts w:hint="default"/>
      </w:rPr>
    </w:lvl>
    <w:lvl w:ilvl="6">
      <w:start w:val="1"/>
      <w:numFmt w:val="lowerRoman"/>
      <w:pStyle w:val="Nagwek7"/>
      <w:lvlText w:val="%7)"/>
      <w:lvlJc w:val="right"/>
      <w:pPr>
        <w:tabs>
          <w:tab w:val="num" w:pos="1296"/>
        </w:tabs>
        <w:ind w:left="1296" w:hanging="288"/>
      </w:pPr>
      <w:rPr>
        <w:rFonts w:hint="default"/>
      </w:rPr>
    </w:lvl>
    <w:lvl w:ilvl="7">
      <w:start w:val="1"/>
      <w:numFmt w:val="lowerLetter"/>
      <w:pStyle w:val="Nagwek8"/>
      <w:lvlText w:val="%8."/>
      <w:lvlJc w:val="left"/>
      <w:pPr>
        <w:tabs>
          <w:tab w:val="num" w:pos="1440"/>
        </w:tabs>
        <w:ind w:left="1440" w:hanging="432"/>
      </w:pPr>
      <w:rPr>
        <w:rFonts w:hint="default"/>
      </w:rPr>
    </w:lvl>
    <w:lvl w:ilvl="8">
      <w:start w:val="1"/>
      <w:numFmt w:val="lowerRoman"/>
      <w:pStyle w:val="Nagwek9"/>
      <w:lvlText w:val="%9."/>
      <w:lvlJc w:val="right"/>
      <w:pPr>
        <w:tabs>
          <w:tab w:val="num" w:pos="1584"/>
        </w:tabs>
        <w:ind w:left="1584" w:hanging="144"/>
      </w:pPr>
      <w:rPr>
        <w:rFonts w:hint="default"/>
      </w:rPr>
    </w:lvl>
  </w:abstractNum>
  <w:abstractNum w:abstractNumId="11" w15:restartNumberingAfterBreak="0">
    <w:nsid w:val="296D6E50"/>
    <w:multiLevelType w:val="hybridMultilevel"/>
    <w:tmpl w:val="7C44DDA8"/>
    <w:lvl w:ilvl="0" w:tplc="4366126A">
      <w:start w:val="1"/>
      <w:numFmt w:val="bullet"/>
      <w:lvlText w:val=""/>
      <w:lvlJc w:val="left"/>
      <w:pPr>
        <w:ind w:left="720" w:hanging="360"/>
      </w:pPr>
      <w:rPr>
        <w:rFonts w:ascii="Symbol" w:hAnsi="Symbo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095D40"/>
    <w:multiLevelType w:val="hybridMultilevel"/>
    <w:tmpl w:val="B62EBAF2"/>
    <w:lvl w:ilvl="0" w:tplc="7E109342">
      <w:start w:val="61"/>
      <w:numFmt w:val="decimal"/>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1A8357F"/>
    <w:multiLevelType w:val="hybridMultilevel"/>
    <w:tmpl w:val="0A70D5EA"/>
    <w:lvl w:ilvl="0" w:tplc="4366126A">
      <w:start w:val="1"/>
      <w:numFmt w:val="bullet"/>
      <w:lvlText w:val=""/>
      <w:lvlJc w:val="left"/>
      <w:pPr>
        <w:ind w:left="720" w:hanging="360"/>
      </w:pPr>
      <w:rPr>
        <w:rFonts w:ascii="Symbol" w:hAnsi="Symbo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3907BD"/>
    <w:multiLevelType w:val="hybridMultilevel"/>
    <w:tmpl w:val="CC42BB0E"/>
    <w:lvl w:ilvl="0" w:tplc="AD366F86">
      <w:start w:val="1"/>
      <w:numFmt w:val="decimal"/>
      <w:lvlText w:val="%1)"/>
      <w:lvlJc w:val="left"/>
      <w:pPr>
        <w:tabs>
          <w:tab w:val="num" w:pos="720"/>
        </w:tabs>
        <w:ind w:left="720" w:hanging="360"/>
      </w:pPr>
      <w:rPr>
        <w:rFonts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E4E6999"/>
    <w:multiLevelType w:val="hybridMultilevel"/>
    <w:tmpl w:val="D0EC96AE"/>
    <w:lvl w:ilvl="0" w:tplc="B6D241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F4E57A5"/>
    <w:multiLevelType w:val="hybridMultilevel"/>
    <w:tmpl w:val="48228E08"/>
    <w:lvl w:ilvl="0" w:tplc="4366126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43FE2C04"/>
    <w:multiLevelType w:val="hybridMultilevel"/>
    <w:tmpl w:val="1DFA7A26"/>
    <w:lvl w:ilvl="0" w:tplc="8028E9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5D95BE6"/>
    <w:multiLevelType w:val="hybridMultilevel"/>
    <w:tmpl w:val="1B968F46"/>
    <w:lvl w:ilvl="0" w:tplc="13701314">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98D6650"/>
    <w:multiLevelType w:val="hybridMultilevel"/>
    <w:tmpl w:val="700E4922"/>
    <w:lvl w:ilvl="0" w:tplc="F68267D2">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1142F62"/>
    <w:multiLevelType w:val="hybridMultilevel"/>
    <w:tmpl w:val="DC427646"/>
    <w:lvl w:ilvl="0" w:tplc="04150001">
      <w:start w:val="1"/>
      <w:numFmt w:val="bullet"/>
      <w:lvlText w:val=""/>
      <w:lvlJc w:val="left"/>
      <w:pPr>
        <w:ind w:left="720" w:hanging="360"/>
      </w:pPr>
      <w:rPr>
        <w:rFonts w:ascii="Symbol" w:hAnsi="Symbo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28E6AE9"/>
    <w:multiLevelType w:val="hybridMultilevel"/>
    <w:tmpl w:val="900A414E"/>
    <w:lvl w:ilvl="0" w:tplc="4366126A">
      <w:start w:val="1"/>
      <w:numFmt w:val="bullet"/>
      <w:lvlText w:val=""/>
      <w:lvlJc w:val="left"/>
      <w:pPr>
        <w:ind w:left="720" w:hanging="360"/>
      </w:pPr>
      <w:rPr>
        <w:rFonts w:ascii="Symbol" w:hAnsi="Symbo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410361B"/>
    <w:multiLevelType w:val="hybridMultilevel"/>
    <w:tmpl w:val="F5A6A090"/>
    <w:lvl w:ilvl="0" w:tplc="9A3A15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4B02E2A"/>
    <w:multiLevelType w:val="hybridMultilevel"/>
    <w:tmpl w:val="92A8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E38441A"/>
    <w:multiLevelType w:val="hybridMultilevel"/>
    <w:tmpl w:val="44804A6C"/>
    <w:lvl w:ilvl="0" w:tplc="A470E9DA">
      <w:start w:val="8"/>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046366C"/>
    <w:multiLevelType w:val="hybridMultilevel"/>
    <w:tmpl w:val="A9F0D57E"/>
    <w:lvl w:ilvl="0" w:tplc="9DF2F614">
      <w:start w:val="8"/>
      <w:numFmt w:val="decimal"/>
      <w:lvlText w:val="%1."/>
      <w:lvlJc w:val="left"/>
      <w:pPr>
        <w:ind w:left="502" w:hanging="360"/>
      </w:pPr>
      <w:rPr>
        <w:rFonts w:hint="default"/>
        <w:b/>
      </w:rPr>
    </w:lvl>
    <w:lvl w:ilvl="1" w:tplc="04150019">
      <w:start w:val="1"/>
      <w:numFmt w:val="lowerLetter"/>
      <w:lvlText w:val="%2."/>
      <w:lvlJc w:val="left"/>
      <w:pPr>
        <w:ind w:left="2010" w:hanging="360"/>
      </w:pPr>
    </w:lvl>
    <w:lvl w:ilvl="2" w:tplc="0415001B" w:tentative="1">
      <w:start w:val="1"/>
      <w:numFmt w:val="lowerRoman"/>
      <w:lvlText w:val="%3."/>
      <w:lvlJc w:val="right"/>
      <w:pPr>
        <w:ind w:left="2730" w:hanging="180"/>
      </w:pPr>
    </w:lvl>
    <w:lvl w:ilvl="3" w:tplc="0415000F" w:tentative="1">
      <w:start w:val="1"/>
      <w:numFmt w:val="decimal"/>
      <w:lvlText w:val="%4."/>
      <w:lvlJc w:val="left"/>
      <w:pPr>
        <w:ind w:left="3450" w:hanging="360"/>
      </w:pPr>
    </w:lvl>
    <w:lvl w:ilvl="4" w:tplc="04150019" w:tentative="1">
      <w:start w:val="1"/>
      <w:numFmt w:val="lowerLetter"/>
      <w:lvlText w:val="%5."/>
      <w:lvlJc w:val="left"/>
      <w:pPr>
        <w:ind w:left="4170" w:hanging="360"/>
      </w:pPr>
    </w:lvl>
    <w:lvl w:ilvl="5" w:tplc="0415001B" w:tentative="1">
      <w:start w:val="1"/>
      <w:numFmt w:val="lowerRoman"/>
      <w:lvlText w:val="%6."/>
      <w:lvlJc w:val="right"/>
      <w:pPr>
        <w:ind w:left="4890" w:hanging="180"/>
      </w:pPr>
    </w:lvl>
    <w:lvl w:ilvl="6" w:tplc="0415000F" w:tentative="1">
      <w:start w:val="1"/>
      <w:numFmt w:val="decimal"/>
      <w:lvlText w:val="%7."/>
      <w:lvlJc w:val="left"/>
      <w:pPr>
        <w:ind w:left="5610" w:hanging="360"/>
      </w:pPr>
    </w:lvl>
    <w:lvl w:ilvl="7" w:tplc="04150019" w:tentative="1">
      <w:start w:val="1"/>
      <w:numFmt w:val="lowerLetter"/>
      <w:lvlText w:val="%8."/>
      <w:lvlJc w:val="left"/>
      <w:pPr>
        <w:ind w:left="6330" w:hanging="360"/>
      </w:pPr>
    </w:lvl>
    <w:lvl w:ilvl="8" w:tplc="0415001B" w:tentative="1">
      <w:start w:val="1"/>
      <w:numFmt w:val="lowerRoman"/>
      <w:lvlText w:val="%9."/>
      <w:lvlJc w:val="right"/>
      <w:pPr>
        <w:ind w:left="7050" w:hanging="180"/>
      </w:pPr>
    </w:lvl>
  </w:abstractNum>
  <w:abstractNum w:abstractNumId="26" w15:restartNumberingAfterBreak="0">
    <w:nsid w:val="69250A06"/>
    <w:multiLevelType w:val="hybridMultilevel"/>
    <w:tmpl w:val="CEFC170E"/>
    <w:lvl w:ilvl="0" w:tplc="4E081F36">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7" w15:restartNumberingAfterBreak="0">
    <w:nsid w:val="75D251F3"/>
    <w:multiLevelType w:val="hybridMultilevel"/>
    <w:tmpl w:val="4A2E27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7E1B297F"/>
    <w:multiLevelType w:val="singleLevel"/>
    <w:tmpl w:val="66A8CB0C"/>
    <w:lvl w:ilvl="0">
      <w:numFmt w:val="bullet"/>
      <w:lvlText w:val="–"/>
      <w:lvlJc w:val="left"/>
      <w:pPr>
        <w:tabs>
          <w:tab w:val="num" w:pos="360"/>
        </w:tabs>
        <w:ind w:left="360" w:hanging="360"/>
      </w:pPr>
      <w:rPr>
        <w:rFonts w:hint="default"/>
      </w:rPr>
    </w:lvl>
  </w:abstractNum>
  <w:num w:numId="1">
    <w:abstractNumId w:val="10"/>
  </w:num>
  <w:num w:numId="2">
    <w:abstractNumId w:val="14"/>
  </w:num>
  <w:num w:numId="3">
    <w:abstractNumId w:val="15"/>
  </w:num>
  <w:num w:numId="4">
    <w:abstractNumId w:val="5"/>
  </w:num>
  <w:num w:numId="5">
    <w:abstractNumId w:val="7"/>
  </w:num>
  <w:num w:numId="6">
    <w:abstractNumId w:val="22"/>
  </w:num>
  <w:num w:numId="7">
    <w:abstractNumId w:val="19"/>
  </w:num>
  <w:num w:numId="8">
    <w:abstractNumId w:val="6"/>
  </w:num>
  <w:num w:numId="9">
    <w:abstractNumId w:val="24"/>
  </w:num>
  <w:num w:numId="10">
    <w:abstractNumId w:val="17"/>
  </w:num>
  <w:num w:numId="11">
    <w:abstractNumId w:val="26"/>
  </w:num>
  <w:num w:numId="12">
    <w:abstractNumId w:val="18"/>
  </w:num>
  <w:num w:numId="13">
    <w:abstractNumId w:val="25"/>
  </w:num>
  <w:num w:numId="14">
    <w:abstractNumId w:val="3"/>
  </w:num>
  <w:num w:numId="15">
    <w:abstractNumId w:val="2"/>
  </w:num>
  <w:num w:numId="16">
    <w:abstractNumId w:val="16"/>
  </w:num>
  <w:num w:numId="17">
    <w:abstractNumId w:val="28"/>
  </w:num>
  <w:num w:numId="18">
    <w:abstractNumId w:val="20"/>
  </w:num>
  <w:num w:numId="19">
    <w:abstractNumId w:val="21"/>
  </w:num>
  <w:num w:numId="20">
    <w:abstractNumId w:val="8"/>
  </w:num>
  <w:num w:numId="21">
    <w:abstractNumId w:val="11"/>
  </w:num>
  <w:num w:numId="22">
    <w:abstractNumId w:val="13"/>
  </w:num>
  <w:num w:numId="23">
    <w:abstractNumId w:val="9"/>
  </w:num>
  <w:num w:numId="24">
    <w:abstractNumId w:val="4"/>
  </w:num>
  <w:num w:numId="25">
    <w:abstractNumId w:val="27"/>
  </w:num>
  <w:num w:numId="26">
    <w:abstractNumId w:val="23"/>
  </w:num>
  <w:num w:numId="27">
    <w:abstractNumId w:val="0"/>
  </w:num>
  <w:num w:numId="28">
    <w:abstractNumId w:val="1"/>
  </w:num>
  <w:num w:numId="29">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2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081"/>
    <w:rsid w:val="00004FC7"/>
    <w:rsid w:val="00022064"/>
    <w:rsid w:val="000258FE"/>
    <w:rsid w:val="00035163"/>
    <w:rsid w:val="00044955"/>
    <w:rsid w:val="00045FC3"/>
    <w:rsid w:val="00052993"/>
    <w:rsid w:val="000572F0"/>
    <w:rsid w:val="0006391B"/>
    <w:rsid w:val="00080ECB"/>
    <w:rsid w:val="00082219"/>
    <w:rsid w:val="0008784C"/>
    <w:rsid w:val="00090764"/>
    <w:rsid w:val="0009540B"/>
    <w:rsid w:val="000C20D0"/>
    <w:rsid w:val="000C6D72"/>
    <w:rsid w:val="000D6113"/>
    <w:rsid w:val="000E1332"/>
    <w:rsid w:val="000E22E6"/>
    <w:rsid w:val="000E4E9B"/>
    <w:rsid w:val="000F230D"/>
    <w:rsid w:val="000F60BF"/>
    <w:rsid w:val="001008A9"/>
    <w:rsid w:val="00105881"/>
    <w:rsid w:val="00105EBA"/>
    <w:rsid w:val="001077C5"/>
    <w:rsid w:val="00112011"/>
    <w:rsid w:val="00113871"/>
    <w:rsid w:val="00117FCE"/>
    <w:rsid w:val="001237B8"/>
    <w:rsid w:val="00123AF9"/>
    <w:rsid w:val="00125B8C"/>
    <w:rsid w:val="00126BE7"/>
    <w:rsid w:val="00127A7D"/>
    <w:rsid w:val="00144E67"/>
    <w:rsid w:val="00151D4D"/>
    <w:rsid w:val="00154620"/>
    <w:rsid w:val="0015733E"/>
    <w:rsid w:val="0015745E"/>
    <w:rsid w:val="00162741"/>
    <w:rsid w:val="00164325"/>
    <w:rsid w:val="00170350"/>
    <w:rsid w:val="00170560"/>
    <w:rsid w:val="001816BF"/>
    <w:rsid w:val="00182117"/>
    <w:rsid w:val="00186A5B"/>
    <w:rsid w:val="001929A4"/>
    <w:rsid w:val="00194635"/>
    <w:rsid w:val="00194E8D"/>
    <w:rsid w:val="001A5F3F"/>
    <w:rsid w:val="001A67B9"/>
    <w:rsid w:val="001B0BA6"/>
    <w:rsid w:val="001B67C9"/>
    <w:rsid w:val="001C4727"/>
    <w:rsid w:val="001C4BD4"/>
    <w:rsid w:val="001C5EA9"/>
    <w:rsid w:val="001D67CF"/>
    <w:rsid w:val="001E66CF"/>
    <w:rsid w:val="002003C1"/>
    <w:rsid w:val="00201713"/>
    <w:rsid w:val="00203C6D"/>
    <w:rsid w:val="00210E93"/>
    <w:rsid w:val="002230BB"/>
    <w:rsid w:val="0022463A"/>
    <w:rsid w:val="00224C3C"/>
    <w:rsid w:val="00237E2E"/>
    <w:rsid w:val="00247860"/>
    <w:rsid w:val="00256FD0"/>
    <w:rsid w:val="00260E1A"/>
    <w:rsid w:val="0026475F"/>
    <w:rsid w:val="00270DE0"/>
    <w:rsid w:val="00273FAF"/>
    <w:rsid w:val="002744A6"/>
    <w:rsid w:val="002818CD"/>
    <w:rsid w:val="00290575"/>
    <w:rsid w:val="0029352B"/>
    <w:rsid w:val="00297648"/>
    <w:rsid w:val="002A10C7"/>
    <w:rsid w:val="002A1229"/>
    <w:rsid w:val="002A1756"/>
    <w:rsid w:val="002A50EA"/>
    <w:rsid w:val="002B697C"/>
    <w:rsid w:val="002B7888"/>
    <w:rsid w:val="002C7B19"/>
    <w:rsid w:val="002D0F34"/>
    <w:rsid w:val="002D2293"/>
    <w:rsid w:val="002D5032"/>
    <w:rsid w:val="002D6E31"/>
    <w:rsid w:val="002F0BD1"/>
    <w:rsid w:val="002F0FCD"/>
    <w:rsid w:val="002F49FB"/>
    <w:rsid w:val="002F4BC3"/>
    <w:rsid w:val="00300B1E"/>
    <w:rsid w:val="00300F5D"/>
    <w:rsid w:val="0031083A"/>
    <w:rsid w:val="00313923"/>
    <w:rsid w:val="00313C96"/>
    <w:rsid w:val="00316A1E"/>
    <w:rsid w:val="003179A0"/>
    <w:rsid w:val="00322B5C"/>
    <w:rsid w:val="00327C4E"/>
    <w:rsid w:val="003304A2"/>
    <w:rsid w:val="00333AED"/>
    <w:rsid w:val="003404E4"/>
    <w:rsid w:val="00342EDB"/>
    <w:rsid w:val="00346EE4"/>
    <w:rsid w:val="00350933"/>
    <w:rsid w:val="00374E88"/>
    <w:rsid w:val="0038293F"/>
    <w:rsid w:val="00384B24"/>
    <w:rsid w:val="003856C4"/>
    <w:rsid w:val="00386A34"/>
    <w:rsid w:val="003B094D"/>
    <w:rsid w:val="003B12FC"/>
    <w:rsid w:val="003B19D7"/>
    <w:rsid w:val="003B1C97"/>
    <w:rsid w:val="003B7547"/>
    <w:rsid w:val="003C5850"/>
    <w:rsid w:val="003D5899"/>
    <w:rsid w:val="003E4552"/>
    <w:rsid w:val="003E6F22"/>
    <w:rsid w:val="00412AF4"/>
    <w:rsid w:val="004178B5"/>
    <w:rsid w:val="00423A0D"/>
    <w:rsid w:val="00433D56"/>
    <w:rsid w:val="0044124E"/>
    <w:rsid w:val="00441DDF"/>
    <w:rsid w:val="004452AC"/>
    <w:rsid w:val="00445B1B"/>
    <w:rsid w:val="0044611D"/>
    <w:rsid w:val="004556CB"/>
    <w:rsid w:val="004564FE"/>
    <w:rsid w:val="0048726C"/>
    <w:rsid w:val="004B29AF"/>
    <w:rsid w:val="004C11B7"/>
    <w:rsid w:val="004D522C"/>
    <w:rsid w:val="004F0AC6"/>
    <w:rsid w:val="004F20FF"/>
    <w:rsid w:val="004F7B13"/>
    <w:rsid w:val="0050016E"/>
    <w:rsid w:val="00501352"/>
    <w:rsid w:val="005024D2"/>
    <w:rsid w:val="00503BF9"/>
    <w:rsid w:val="0050781C"/>
    <w:rsid w:val="00521555"/>
    <w:rsid w:val="00525556"/>
    <w:rsid w:val="0053240C"/>
    <w:rsid w:val="0053449E"/>
    <w:rsid w:val="0054053F"/>
    <w:rsid w:val="00541475"/>
    <w:rsid w:val="0054528A"/>
    <w:rsid w:val="00547C9A"/>
    <w:rsid w:val="00564956"/>
    <w:rsid w:val="005649EA"/>
    <w:rsid w:val="00573ABF"/>
    <w:rsid w:val="00574297"/>
    <w:rsid w:val="005765C5"/>
    <w:rsid w:val="005815C5"/>
    <w:rsid w:val="00591DE6"/>
    <w:rsid w:val="00594C37"/>
    <w:rsid w:val="005A075E"/>
    <w:rsid w:val="005A7FD9"/>
    <w:rsid w:val="005B4161"/>
    <w:rsid w:val="005B65BC"/>
    <w:rsid w:val="005B7CEA"/>
    <w:rsid w:val="005C5C63"/>
    <w:rsid w:val="005D7518"/>
    <w:rsid w:val="005F25A3"/>
    <w:rsid w:val="006007C0"/>
    <w:rsid w:val="00606D9C"/>
    <w:rsid w:val="00617CCC"/>
    <w:rsid w:val="006324AC"/>
    <w:rsid w:val="00643FEA"/>
    <w:rsid w:val="00644B59"/>
    <w:rsid w:val="00646F18"/>
    <w:rsid w:val="00655380"/>
    <w:rsid w:val="00656694"/>
    <w:rsid w:val="00667674"/>
    <w:rsid w:val="00671986"/>
    <w:rsid w:val="00671CD4"/>
    <w:rsid w:val="0067256C"/>
    <w:rsid w:val="0067640A"/>
    <w:rsid w:val="00682324"/>
    <w:rsid w:val="00683818"/>
    <w:rsid w:val="006861EB"/>
    <w:rsid w:val="00686D31"/>
    <w:rsid w:val="0069044E"/>
    <w:rsid w:val="00692362"/>
    <w:rsid w:val="00693705"/>
    <w:rsid w:val="00696CF7"/>
    <w:rsid w:val="006B1DAD"/>
    <w:rsid w:val="006B69AC"/>
    <w:rsid w:val="006C13FF"/>
    <w:rsid w:val="006C233E"/>
    <w:rsid w:val="006C524F"/>
    <w:rsid w:val="006C7F68"/>
    <w:rsid w:val="006D3A8D"/>
    <w:rsid w:val="006E06BE"/>
    <w:rsid w:val="006E0E1E"/>
    <w:rsid w:val="006E128C"/>
    <w:rsid w:val="006E1B93"/>
    <w:rsid w:val="006E60DB"/>
    <w:rsid w:val="006E6128"/>
    <w:rsid w:val="006F475E"/>
    <w:rsid w:val="006F5F36"/>
    <w:rsid w:val="006F6CE1"/>
    <w:rsid w:val="00701D1D"/>
    <w:rsid w:val="00702D4A"/>
    <w:rsid w:val="00715081"/>
    <w:rsid w:val="007177C6"/>
    <w:rsid w:val="007329BD"/>
    <w:rsid w:val="007351F3"/>
    <w:rsid w:val="00735A74"/>
    <w:rsid w:val="00737274"/>
    <w:rsid w:val="0074438F"/>
    <w:rsid w:val="00750F8E"/>
    <w:rsid w:val="007607E6"/>
    <w:rsid w:val="00764C21"/>
    <w:rsid w:val="00767B1B"/>
    <w:rsid w:val="00776DD7"/>
    <w:rsid w:val="00783B03"/>
    <w:rsid w:val="00786A0A"/>
    <w:rsid w:val="00794645"/>
    <w:rsid w:val="0079715D"/>
    <w:rsid w:val="00797386"/>
    <w:rsid w:val="007A3DEC"/>
    <w:rsid w:val="007B5B77"/>
    <w:rsid w:val="007C028A"/>
    <w:rsid w:val="007C669D"/>
    <w:rsid w:val="007E2C44"/>
    <w:rsid w:val="007F0CB8"/>
    <w:rsid w:val="007F1A77"/>
    <w:rsid w:val="007F5744"/>
    <w:rsid w:val="00812E05"/>
    <w:rsid w:val="008130ED"/>
    <w:rsid w:val="00821323"/>
    <w:rsid w:val="00835271"/>
    <w:rsid w:val="00842B33"/>
    <w:rsid w:val="00845225"/>
    <w:rsid w:val="008474AE"/>
    <w:rsid w:val="0086198E"/>
    <w:rsid w:val="008741ED"/>
    <w:rsid w:val="00883647"/>
    <w:rsid w:val="00883F1F"/>
    <w:rsid w:val="00884407"/>
    <w:rsid w:val="00885F74"/>
    <w:rsid w:val="00885F99"/>
    <w:rsid w:val="008903C7"/>
    <w:rsid w:val="00893387"/>
    <w:rsid w:val="008A4B4B"/>
    <w:rsid w:val="008A681C"/>
    <w:rsid w:val="008C3E09"/>
    <w:rsid w:val="008C6CF3"/>
    <w:rsid w:val="008C7B6F"/>
    <w:rsid w:val="008D4CC3"/>
    <w:rsid w:val="008D6B9E"/>
    <w:rsid w:val="008F133E"/>
    <w:rsid w:val="008F3E4F"/>
    <w:rsid w:val="00901104"/>
    <w:rsid w:val="009032BA"/>
    <w:rsid w:val="00911778"/>
    <w:rsid w:val="00920822"/>
    <w:rsid w:val="009275F5"/>
    <w:rsid w:val="009336AE"/>
    <w:rsid w:val="00946128"/>
    <w:rsid w:val="00956CF3"/>
    <w:rsid w:val="00961A7A"/>
    <w:rsid w:val="00961CD3"/>
    <w:rsid w:val="00967385"/>
    <w:rsid w:val="00982440"/>
    <w:rsid w:val="009875A9"/>
    <w:rsid w:val="00987F97"/>
    <w:rsid w:val="00992556"/>
    <w:rsid w:val="00993B48"/>
    <w:rsid w:val="00993D38"/>
    <w:rsid w:val="00997D28"/>
    <w:rsid w:val="009A2721"/>
    <w:rsid w:val="009B4AF5"/>
    <w:rsid w:val="009B765A"/>
    <w:rsid w:val="009C4784"/>
    <w:rsid w:val="009D2509"/>
    <w:rsid w:val="009D3729"/>
    <w:rsid w:val="009D5AAD"/>
    <w:rsid w:val="009D62CE"/>
    <w:rsid w:val="009E02D7"/>
    <w:rsid w:val="009E04D8"/>
    <w:rsid w:val="009E328C"/>
    <w:rsid w:val="009F1E53"/>
    <w:rsid w:val="009F42DE"/>
    <w:rsid w:val="009F4DE3"/>
    <w:rsid w:val="009F5917"/>
    <w:rsid w:val="009F7A66"/>
    <w:rsid w:val="00A01FD2"/>
    <w:rsid w:val="00A02732"/>
    <w:rsid w:val="00A03AE0"/>
    <w:rsid w:val="00A05614"/>
    <w:rsid w:val="00A0573F"/>
    <w:rsid w:val="00A11829"/>
    <w:rsid w:val="00A13A03"/>
    <w:rsid w:val="00A17110"/>
    <w:rsid w:val="00A2082B"/>
    <w:rsid w:val="00A33AC8"/>
    <w:rsid w:val="00A419BF"/>
    <w:rsid w:val="00A45487"/>
    <w:rsid w:val="00A74A2A"/>
    <w:rsid w:val="00A74EEC"/>
    <w:rsid w:val="00A773DA"/>
    <w:rsid w:val="00A80A29"/>
    <w:rsid w:val="00A80C39"/>
    <w:rsid w:val="00A8164A"/>
    <w:rsid w:val="00A848E9"/>
    <w:rsid w:val="00A8525B"/>
    <w:rsid w:val="00A92506"/>
    <w:rsid w:val="00A92D0E"/>
    <w:rsid w:val="00A97DC8"/>
    <w:rsid w:val="00AA0DAF"/>
    <w:rsid w:val="00AB46F3"/>
    <w:rsid w:val="00AB7426"/>
    <w:rsid w:val="00AB7AB1"/>
    <w:rsid w:val="00AC16AB"/>
    <w:rsid w:val="00AC59A5"/>
    <w:rsid w:val="00AD2795"/>
    <w:rsid w:val="00AD50A0"/>
    <w:rsid w:val="00AE645B"/>
    <w:rsid w:val="00AF2240"/>
    <w:rsid w:val="00AF4554"/>
    <w:rsid w:val="00B005E3"/>
    <w:rsid w:val="00B048A6"/>
    <w:rsid w:val="00B06D6E"/>
    <w:rsid w:val="00B07AA7"/>
    <w:rsid w:val="00B14301"/>
    <w:rsid w:val="00B26E76"/>
    <w:rsid w:val="00B27B2C"/>
    <w:rsid w:val="00B3054B"/>
    <w:rsid w:val="00B54488"/>
    <w:rsid w:val="00B54C1D"/>
    <w:rsid w:val="00B63B49"/>
    <w:rsid w:val="00B64E2C"/>
    <w:rsid w:val="00B73F70"/>
    <w:rsid w:val="00B77D0A"/>
    <w:rsid w:val="00B82E42"/>
    <w:rsid w:val="00B94088"/>
    <w:rsid w:val="00BC1C17"/>
    <w:rsid w:val="00BD6106"/>
    <w:rsid w:val="00BE11FF"/>
    <w:rsid w:val="00BE4C2A"/>
    <w:rsid w:val="00BF3701"/>
    <w:rsid w:val="00BF4E72"/>
    <w:rsid w:val="00C043B6"/>
    <w:rsid w:val="00C22885"/>
    <w:rsid w:val="00C228E4"/>
    <w:rsid w:val="00C32B7C"/>
    <w:rsid w:val="00C4545D"/>
    <w:rsid w:val="00C62B5F"/>
    <w:rsid w:val="00C6797B"/>
    <w:rsid w:val="00C705F5"/>
    <w:rsid w:val="00C70715"/>
    <w:rsid w:val="00C71AEB"/>
    <w:rsid w:val="00C73EC9"/>
    <w:rsid w:val="00C8273E"/>
    <w:rsid w:val="00C845DD"/>
    <w:rsid w:val="00C87C20"/>
    <w:rsid w:val="00C9232E"/>
    <w:rsid w:val="00C92A5E"/>
    <w:rsid w:val="00CA3105"/>
    <w:rsid w:val="00CA4A39"/>
    <w:rsid w:val="00CB4129"/>
    <w:rsid w:val="00CB48C4"/>
    <w:rsid w:val="00CB4DD0"/>
    <w:rsid w:val="00CB7F77"/>
    <w:rsid w:val="00CC40C6"/>
    <w:rsid w:val="00CD4998"/>
    <w:rsid w:val="00CE75CA"/>
    <w:rsid w:val="00D06B89"/>
    <w:rsid w:val="00D10A16"/>
    <w:rsid w:val="00D119B0"/>
    <w:rsid w:val="00D175FD"/>
    <w:rsid w:val="00D23A5D"/>
    <w:rsid w:val="00D25829"/>
    <w:rsid w:val="00D34D9F"/>
    <w:rsid w:val="00D41F1E"/>
    <w:rsid w:val="00D47191"/>
    <w:rsid w:val="00D539EC"/>
    <w:rsid w:val="00D53B47"/>
    <w:rsid w:val="00D60C4F"/>
    <w:rsid w:val="00D6610C"/>
    <w:rsid w:val="00D70B92"/>
    <w:rsid w:val="00DA327F"/>
    <w:rsid w:val="00DA5F21"/>
    <w:rsid w:val="00DB36BE"/>
    <w:rsid w:val="00DC13CD"/>
    <w:rsid w:val="00DC242D"/>
    <w:rsid w:val="00DC6E15"/>
    <w:rsid w:val="00DE245A"/>
    <w:rsid w:val="00DE4C80"/>
    <w:rsid w:val="00DE7084"/>
    <w:rsid w:val="00DF1673"/>
    <w:rsid w:val="00DF1E8A"/>
    <w:rsid w:val="00E046CA"/>
    <w:rsid w:val="00E3597B"/>
    <w:rsid w:val="00E35BF8"/>
    <w:rsid w:val="00E41383"/>
    <w:rsid w:val="00E5102E"/>
    <w:rsid w:val="00E52C7A"/>
    <w:rsid w:val="00E602C7"/>
    <w:rsid w:val="00E6401B"/>
    <w:rsid w:val="00E70315"/>
    <w:rsid w:val="00E76925"/>
    <w:rsid w:val="00E81F86"/>
    <w:rsid w:val="00E912D5"/>
    <w:rsid w:val="00E944B7"/>
    <w:rsid w:val="00E962F5"/>
    <w:rsid w:val="00EA293B"/>
    <w:rsid w:val="00EA334B"/>
    <w:rsid w:val="00EB1915"/>
    <w:rsid w:val="00EB41D3"/>
    <w:rsid w:val="00EB5563"/>
    <w:rsid w:val="00EB5C4D"/>
    <w:rsid w:val="00EC3682"/>
    <w:rsid w:val="00ED0DDD"/>
    <w:rsid w:val="00EE5A76"/>
    <w:rsid w:val="00EE667C"/>
    <w:rsid w:val="00EF21BB"/>
    <w:rsid w:val="00EF3BAE"/>
    <w:rsid w:val="00F00711"/>
    <w:rsid w:val="00F010D5"/>
    <w:rsid w:val="00F03115"/>
    <w:rsid w:val="00F140A8"/>
    <w:rsid w:val="00F1623D"/>
    <w:rsid w:val="00F17E74"/>
    <w:rsid w:val="00F23075"/>
    <w:rsid w:val="00F26F0A"/>
    <w:rsid w:val="00F3168F"/>
    <w:rsid w:val="00F35D30"/>
    <w:rsid w:val="00F37A28"/>
    <w:rsid w:val="00F40F50"/>
    <w:rsid w:val="00F44246"/>
    <w:rsid w:val="00F5569D"/>
    <w:rsid w:val="00F63BF5"/>
    <w:rsid w:val="00F665BB"/>
    <w:rsid w:val="00F70393"/>
    <w:rsid w:val="00F70DF7"/>
    <w:rsid w:val="00F7124C"/>
    <w:rsid w:val="00F85659"/>
    <w:rsid w:val="00F870C0"/>
    <w:rsid w:val="00F96EA3"/>
    <w:rsid w:val="00FB1818"/>
    <w:rsid w:val="00FB2870"/>
    <w:rsid w:val="00FC40E4"/>
    <w:rsid w:val="00FD36F1"/>
    <w:rsid w:val="00FD54F5"/>
    <w:rsid w:val="00FD6337"/>
    <w:rsid w:val="00FD6CE6"/>
    <w:rsid w:val="00FE0362"/>
    <w:rsid w:val="00FF097E"/>
    <w:rsid w:val="00FF5F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963070"/>
  <w15:chartTrackingRefBased/>
  <w15:docId w15:val="{66585A92-791F-4159-B35A-5BC94DE81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177C6"/>
    <w:rPr>
      <w:rFonts w:ascii="Arial Narrow" w:hAnsi="Arial Narrow"/>
      <w:sz w:val="22"/>
      <w:szCs w:val="24"/>
      <w:lang w:eastAsia="en-US"/>
    </w:rPr>
  </w:style>
  <w:style w:type="paragraph" w:styleId="Nagwek1">
    <w:name w:val="heading 1"/>
    <w:basedOn w:val="Normalny"/>
    <w:next w:val="Normalny"/>
    <w:autoRedefine/>
    <w:qFormat/>
    <w:rsid w:val="002A1756"/>
    <w:pPr>
      <w:keepNext/>
      <w:tabs>
        <w:tab w:val="left" w:pos="567"/>
      </w:tabs>
      <w:spacing w:before="120" w:after="120"/>
      <w:jc w:val="both"/>
      <w:outlineLvl w:val="0"/>
    </w:pPr>
    <w:rPr>
      <w:rFonts w:cs="Arial"/>
      <w:b/>
      <w:bCs/>
      <w:kern w:val="32"/>
      <w:sz w:val="32"/>
      <w:szCs w:val="32"/>
    </w:rPr>
  </w:style>
  <w:style w:type="paragraph" w:styleId="Nagwek2">
    <w:name w:val="heading 2"/>
    <w:basedOn w:val="Normalny"/>
    <w:next w:val="Normalny"/>
    <w:autoRedefine/>
    <w:qFormat/>
    <w:rsid w:val="00E602C7"/>
    <w:pPr>
      <w:keepNext/>
      <w:spacing w:before="120" w:after="120"/>
      <w:jc w:val="both"/>
      <w:outlineLvl w:val="1"/>
    </w:pPr>
    <w:rPr>
      <w:rFonts w:cs="Arial"/>
      <w:bCs/>
      <w:iCs/>
      <w:sz w:val="32"/>
      <w:szCs w:val="32"/>
      <w:lang w:val="pt-BR"/>
    </w:rPr>
  </w:style>
  <w:style w:type="paragraph" w:styleId="Nagwek3">
    <w:name w:val="heading 3"/>
    <w:basedOn w:val="Normalny"/>
    <w:next w:val="Normalny"/>
    <w:qFormat/>
    <w:rsid w:val="00764C21"/>
    <w:pPr>
      <w:keepNext/>
      <w:spacing w:before="240" w:after="60"/>
      <w:outlineLvl w:val="2"/>
    </w:pPr>
    <w:rPr>
      <w:rFonts w:ascii="Arial" w:hAnsi="Arial" w:cs="Arial"/>
      <w:b/>
      <w:bCs/>
      <w:sz w:val="26"/>
      <w:szCs w:val="26"/>
    </w:rPr>
  </w:style>
  <w:style w:type="paragraph" w:styleId="Nagwek4">
    <w:name w:val="heading 4"/>
    <w:basedOn w:val="Normalny"/>
    <w:next w:val="Normalny"/>
    <w:qFormat/>
    <w:rsid w:val="00764C21"/>
    <w:pPr>
      <w:keepNext/>
      <w:numPr>
        <w:ilvl w:val="3"/>
        <w:numId w:val="1"/>
      </w:numPr>
      <w:spacing w:before="240" w:after="60"/>
      <w:outlineLvl w:val="3"/>
    </w:pPr>
    <w:rPr>
      <w:rFonts w:ascii="Times New Roman" w:hAnsi="Times New Roman"/>
      <w:b/>
      <w:bCs/>
      <w:sz w:val="28"/>
      <w:szCs w:val="28"/>
    </w:rPr>
  </w:style>
  <w:style w:type="paragraph" w:styleId="Nagwek5">
    <w:name w:val="heading 5"/>
    <w:basedOn w:val="Normalny"/>
    <w:next w:val="Normalny"/>
    <w:qFormat/>
    <w:rsid w:val="00764C21"/>
    <w:pPr>
      <w:numPr>
        <w:ilvl w:val="4"/>
        <w:numId w:val="1"/>
      </w:numPr>
      <w:spacing w:before="240" w:after="60"/>
      <w:outlineLvl w:val="4"/>
    </w:pPr>
    <w:rPr>
      <w:b/>
      <w:bCs/>
      <w:i/>
      <w:iCs/>
      <w:sz w:val="26"/>
      <w:szCs w:val="26"/>
    </w:rPr>
  </w:style>
  <w:style w:type="paragraph" w:styleId="Nagwek6">
    <w:name w:val="heading 6"/>
    <w:basedOn w:val="Normalny"/>
    <w:next w:val="Normalny"/>
    <w:qFormat/>
    <w:rsid w:val="00764C21"/>
    <w:pPr>
      <w:numPr>
        <w:ilvl w:val="5"/>
        <w:numId w:val="1"/>
      </w:numPr>
      <w:spacing w:before="240" w:after="60"/>
      <w:outlineLvl w:val="5"/>
    </w:pPr>
    <w:rPr>
      <w:rFonts w:ascii="Times New Roman" w:hAnsi="Times New Roman"/>
      <w:b/>
      <w:bCs/>
      <w:szCs w:val="22"/>
    </w:rPr>
  </w:style>
  <w:style w:type="paragraph" w:styleId="Nagwek7">
    <w:name w:val="heading 7"/>
    <w:basedOn w:val="Normalny"/>
    <w:next w:val="Normalny"/>
    <w:qFormat/>
    <w:rsid w:val="00764C21"/>
    <w:pPr>
      <w:numPr>
        <w:ilvl w:val="6"/>
        <w:numId w:val="1"/>
      </w:numPr>
      <w:spacing w:before="240" w:after="60"/>
      <w:outlineLvl w:val="6"/>
    </w:pPr>
    <w:rPr>
      <w:rFonts w:ascii="Times New Roman" w:hAnsi="Times New Roman"/>
    </w:rPr>
  </w:style>
  <w:style w:type="paragraph" w:styleId="Nagwek8">
    <w:name w:val="heading 8"/>
    <w:basedOn w:val="Normalny"/>
    <w:next w:val="Normalny"/>
    <w:qFormat/>
    <w:rsid w:val="00764C21"/>
    <w:pPr>
      <w:numPr>
        <w:ilvl w:val="7"/>
        <w:numId w:val="1"/>
      </w:numPr>
      <w:spacing w:before="240" w:after="60"/>
      <w:outlineLvl w:val="7"/>
    </w:pPr>
    <w:rPr>
      <w:rFonts w:ascii="Times New Roman" w:hAnsi="Times New Roman"/>
      <w:i/>
      <w:iCs/>
    </w:rPr>
  </w:style>
  <w:style w:type="paragraph" w:styleId="Nagwek9">
    <w:name w:val="heading 9"/>
    <w:basedOn w:val="Normalny"/>
    <w:next w:val="Normalny"/>
    <w:qFormat/>
    <w:rsid w:val="00764C21"/>
    <w:pPr>
      <w:numPr>
        <w:ilvl w:val="8"/>
        <w:numId w:val="1"/>
      </w:numPr>
      <w:spacing w:before="240" w:after="60"/>
      <w:outlineLvl w:val="8"/>
    </w:pPr>
    <w:rPr>
      <w:rFonts w:ascii="Arial" w:hAnsi="Arial" w:cs="Arial"/>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E203EC"/>
    <w:pPr>
      <w:tabs>
        <w:tab w:val="center" w:pos="4320"/>
        <w:tab w:val="right" w:pos="8640"/>
      </w:tabs>
    </w:pPr>
  </w:style>
  <w:style w:type="character" w:customStyle="1" w:styleId="NagwekZnak">
    <w:name w:val="Nagłówek Znak"/>
    <w:basedOn w:val="Domylnaczcionkaakapitu"/>
    <w:link w:val="Nagwek"/>
    <w:uiPriority w:val="99"/>
    <w:rsid w:val="00E203EC"/>
  </w:style>
  <w:style w:type="paragraph" w:styleId="Stopka">
    <w:name w:val="footer"/>
    <w:basedOn w:val="Normalny"/>
    <w:link w:val="StopkaZnak"/>
    <w:uiPriority w:val="99"/>
    <w:unhideWhenUsed/>
    <w:rsid w:val="00E203EC"/>
    <w:pPr>
      <w:tabs>
        <w:tab w:val="center" w:pos="4320"/>
        <w:tab w:val="right" w:pos="8640"/>
      </w:tabs>
    </w:pPr>
  </w:style>
  <w:style w:type="character" w:customStyle="1" w:styleId="StopkaZnak">
    <w:name w:val="Stopka Znak"/>
    <w:basedOn w:val="Domylnaczcionkaakapitu"/>
    <w:link w:val="Stopka"/>
    <w:uiPriority w:val="99"/>
    <w:rsid w:val="00E203EC"/>
  </w:style>
  <w:style w:type="paragraph" w:styleId="Tekstdymka">
    <w:name w:val="Balloon Text"/>
    <w:basedOn w:val="Normalny"/>
    <w:link w:val="TekstdymkaZnak"/>
    <w:uiPriority w:val="99"/>
    <w:semiHidden/>
    <w:unhideWhenUsed/>
    <w:rsid w:val="00FF097E"/>
    <w:rPr>
      <w:rFonts w:ascii="Tahoma" w:hAnsi="Tahoma" w:cs="Tahoma"/>
      <w:sz w:val="16"/>
      <w:szCs w:val="16"/>
    </w:rPr>
  </w:style>
  <w:style w:type="character" w:customStyle="1" w:styleId="TekstdymkaZnak">
    <w:name w:val="Tekst dymka Znak"/>
    <w:link w:val="Tekstdymka"/>
    <w:uiPriority w:val="99"/>
    <w:semiHidden/>
    <w:rsid w:val="00FF097E"/>
    <w:rPr>
      <w:rFonts w:ascii="Tahoma" w:hAnsi="Tahoma" w:cs="Tahoma"/>
      <w:sz w:val="16"/>
      <w:szCs w:val="16"/>
    </w:rPr>
  </w:style>
  <w:style w:type="character" w:styleId="Hipercze">
    <w:name w:val="Hyperlink"/>
    <w:uiPriority w:val="99"/>
    <w:unhideWhenUsed/>
    <w:rsid w:val="00EF3BAE"/>
    <w:rPr>
      <w:color w:val="0000FF"/>
      <w:u w:val="single"/>
    </w:rPr>
  </w:style>
  <w:style w:type="paragraph" w:styleId="NormalnyWeb">
    <w:name w:val="Normal (Web)"/>
    <w:basedOn w:val="Normalny"/>
    <w:rsid w:val="00655380"/>
    <w:pPr>
      <w:spacing w:before="100" w:beforeAutospacing="1" w:after="100" w:afterAutospacing="1"/>
    </w:pPr>
    <w:rPr>
      <w:rFonts w:ascii="Times New Roman" w:eastAsia="Times New Roman" w:hAnsi="Times New Roman"/>
      <w:lang w:eastAsia="pl-PL"/>
    </w:rPr>
  </w:style>
  <w:style w:type="paragraph" w:customStyle="1" w:styleId="StylNagwek1Zielony">
    <w:name w:val="Styl Nagłówek 1 + Zielony"/>
    <w:basedOn w:val="Nagwek"/>
    <w:rsid w:val="00A92506"/>
    <w:rPr>
      <w:color w:val="008000"/>
    </w:rPr>
  </w:style>
  <w:style w:type="paragraph" w:customStyle="1" w:styleId="StylNagwek2Szary50">
    <w:name w:val="Styl Nagłówek 2 + Szary 50%"/>
    <w:basedOn w:val="Nagwek2"/>
    <w:autoRedefine/>
    <w:rsid w:val="00AB7426"/>
  </w:style>
  <w:style w:type="character" w:styleId="Numerstrony">
    <w:name w:val="page number"/>
    <w:basedOn w:val="Domylnaczcionkaakapitu"/>
    <w:rsid w:val="00EC3682"/>
  </w:style>
  <w:style w:type="paragraph" w:styleId="Akapitzlist">
    <w:name w:val="List Paragraph"/>
    <w:basedOn w:val="Normalny"/>
    <w:uiPriority w:val="1"/>
    <w:qFormat/>
    <w:rsid w:val="00797386"/>
    <w:pPr>
      <w:widowControl w:val="0"/>
    </w:pPr>
    <w:rPr>
      <w:rFonts w:ascii="Calibri" w:eastAsia="Calibri" w:hAnsi="Calibri"/>
      <w:szCs w:val="22"/>
      <w:lang w:eastAsia="pl-PL" w:bidi="pl-PL"/>
    </w:rPr>
  </w:style>
  <w:style w:type="paragraph" w:styleId="Tekstkomentarza">
    <w:name w:val="annotation text"/>
    <w:basedOn w:val="Normalny"/>
    <w:link w:val="TekstkomentarzaZnak"/>
    <w:uiPriority w:val="99"/>
    <w:unhideWhenUsed/>
    <w:rsid w:val="00797386"/>
    <w:pPr>
      <w:spacing w:after="200"/>
    </w:pPr>
    <w:rPr>
      <w:rFonts w:ascii="Calibri" w:eastAsia="Calibri" w:hAnsi="Calibri"/>
      <w:sz w:val="20"/>
      <w:szCs w:val="20"/>
    </w:rPr>
  </w:style>
  <w:style w:type="character" w:customStyle="1" w:styleId="TekstkomentarzaZnak">
    <w:name w:val="Tekst komentarza Znak"/>
    <w:link w:val="Tekstkomentarza"/>
    <w:uiPriority w:val="99"/>
    <w:rsid w:val="00797386"/>
    <w:rPr>
      <w:rFonts w:ascii="Calibri" w:eastAsia="Calibri" w:hAnsi="Calibri"/>
      <w:lang w:eastAsia="en-US"/>
    </w:rPr>
  </w:style>
  <w:style w:type="paragraph" w:customStyle="1" w:styleId="Styl1">
    <w:name w:val="Styl1"/>
    <w:basedOn w:val="Normalny"/>
    <w:link w:val="Styl1Znak"/>
    <w:qFormat/>
    <w:rsid w:val="00797386"/>
    <w:pPr>
      <w:spacing w:line="276" w:lineRule="auto"/>
      <w:ind w:firstLine="708"/>
      <w:jc w:val="both"/>
    </w:pPr>
    <w:rPr>
      <w:rFonts w:ascii="Times New Roman" w:eastAsia="Calibri" w:hAnsi="Times New Roman"/>
    </w:rPr>
  </w:style>
  <w:style w:type="character" w:customStyle="1" w:styleId="Styl1Znak">
    <w:name w:val="Styl1 Znak"/>
    <w:link w:val="Styl1"/>
    <w:rsid w:val="00797386"/>
    <w:rPr>
      <w:rFonts w:ascii="Times New Roman" w:eastAsia="Calibri" w:hAnsi="Times New Roman"/>
      <w:sz w:val="24"/>
      <w:szCs w:val="24"/>
      <w:lang w:eastAsia="en-US"/>
    </w:rPr>
  </w:style>
  <w:style w:type="paragraph" w:styleId="Tekstprzypisudolnego">
    <w:name w:val="footnote text"/>
    <w:basedOn w:val="Normalny"/>
    <w:link w:val="TekstprzypisudolnegoZnak"/>
    <w:uiPriority w:val="99"/>
    <w:semiHidden/>
    <w:unhideWhenUsed/>
    <w:rsid w:val="00797386"/>
    <w:rPr>
      <w:rFonts w:ascii="Calibri" w:eastAsia="Calibri" w:hAnsi="Calibri"/>
      <w:sz w:val="20"/>
      <w:szCs w:val="20"/>
    </w:rPr>
  </w:style>
  <w:style w:type="character" w:customStyle="1" w:styleId="TekstprzypisudolnegoZnak">
    <w:name w:val="Tekst przypisu dolnego Znak"/>
    <w:link w:val="Tekstprzypisudolnego"/>
    <w:uiPriority w:val="99"/>
    <w:semiHidden/>
    <w:rsid w:val="00797386"/>
    <w:rPr>
      <w:rFonts w:ascii="Calibri" w:eastAsia="Calibri" w:hAnsi="Calibri"/>
      <w:lang w:eastAsia="en-US"/>
    </w:rPr>
  </w:style>
  <w:style w:type="character" w:styleId="Odwoanieprzypisudolnego">
    <w:name w:val="footnote reference"/>
    <w:uiPriority w:val="99"/>
    <w:semiHidden/>
    <w:unhideWhenUsed/>
    <w:rsid w:val="00797386"/>
    <w:rPr>
      <w:vertAlign w:val="superscript"/>
    </w:rPr>
  </w:style>
  <w:style w:type="character" w:styleId="Uwydatnienie">
    <w:name w:val="Emphasis"/>
    <w:uiPriority w:val="20"/>
    <w:qFormat/>
    <w:rsid w:val="00384B24"/>
    <w:rPr>
      <w:b w:val="0"/>
      <w:bCs w:val="0"/>
      <w:i/>
      <w:iCs/>
    </w:rPr>
  </w:style>
  <w:style w:type="character" w:styleId="Pogrubienie">
    <w:name w:val="Strong"/>
    <w:uiPriority w:val="22"/>
    <w:qFormat/>
    <w:rsid w:val="00384B24"/>
    <w:rPr>
      <w:b/>
      <w:bCs/>
      <w:i w:val="0"/>
      <w:iCs w:val="0"/>
    </w:rPr>
  </w:style>
  <w:style w:type="paragraph" w:styleId="Spistreci1">
    <w:name w:val="toc 1"/>
    <w:basedOn w:val="Normalny"/>
    <w:next w:val="Normalny"/>
    <w:autoRedefine/>
    <w:uiPriority w:val="39"/>
    <w:unhideWhenUsed/>
    <w:rsid w:val="00656694"/>
    <w:rPr>
      <w:rFonts w:eastAsia="Times New Roman"/>
      <w:lang w:val="en-US"/>
    </w:rPr>
  </w:style>
  <w:style w:type="paragraph" w:styleId="Tekstpodstawowy">
    <w:name w:val="Body Text"/>
    <w:basedOn w:val="Normalny"/>
    <w:link w:val="TekstpodstawowyZnak"/>
    <w:unhideWhenUsed/>
    <w:rsid w:val="00384B24"/>
    <w:rPr>
      <w:rFonts w:ascii="Bookman Old Style" w:eastAsia="Times New Roman" w:hAnsi="Bookman Old Style"/>
      <w:color w:val="000000"/>
    </w:rPr>
  </w:style>
  <w:style w:type="character" w:customStyle="1" w:styleId="TekstpodstawowyZnak">
    <w:name w:val="Tekst podstawowy Znak"/>
    <w:link w:val="Tekstpodstawowy"/>
    <w:rsid w:val="00384B24"/>
    <w:rPr>
      <w:rFonts w:ascii="Bookman Old Style" w:eastAsia="Times New Roman" w:hAnsi="Bookman Old Style"/>
      <w:color w:val="000000"/>
      <w:sz w:val="24"/>
      <w:szCs w:val="24"/>
      <w:lang w:eastAsia="en-US"/>
    </w:rPr>
  </w:style>
  <w:style w:type="paragraph" w:styleId="Tekstpodstawowywcity">
    <w:name w:val="Body Text Indent"/>
    <w:basedOn w:val="Normalny"/>
    <w:link w:val="TekstpodstawowywcityZnak"/>
    <w:unhideWhenUsed/>
    <w:rsid w:val="00384B24"/>
    <w:pPr>
      <w:widowControl w:val="0"/>
      <w:tabs>
        <w:tab w:val="left" w:pos="567"/>
        <w:tab w:val="left" w:pos="1134"/>
        <w:tab w:val="left" w:pos="1701"/>
        <w:tab w:val="left" w:pos="2268"/>
      </w:tabs>
      <w:ind w:left="567" w:hanging="567"/>
      <w:jc w:val="both"/>
    </w:pPr>
    <w:rPr>
      <w:rFonts w:ascii="Times New Roman" w:eastAsia="Times New Roman" w:hAnsi="Times New Roman"/>
      <w:szCs w:val="20"/>
      <w:lang w:eastAsia="pl-PL"/>
    </w:rPr>
  </w:style>
  <w:style w:type="character" w:customStyle="1" w:styleId="TekstpodstawowywcityZnak">
    <w:name w:val="Tekst podstawowy wcięty Znak"/>
    <w:link w:val="Tekstpodstawowywcity"/>
    <w:rsid w:val="00384B24"/>
    <w:rPr>
      <w:rFonts w:ascii="Times New Roman" w:eastAsia="Times New Roman" w:hAnsi="Times New Roman"/>
      <w:sz w:val="24"/>
    </w:rPr>
  </w:style>
  <w:style w:type="paragraph" w:styleId="Tekstpodstawowy2">
    <w:name w:val="Body Text 2"/>
    <w:basedOn w:val="Normalny"/>
    <w:link w:val="Tekstpodstawowy2Znak"/>
    <w:unhideWhenUsed/>
    <w:rsid w:val="00384B24"/>
    <w:pPr>
      <w:jc w:val="both"/>
    </w:pPr>
    <w:rPr>
      <w:rFonts w:ascii="Times New Roman" w:eastAsia="Times New Roman" w:hAnsi="Times New Roman"/>
      <w:szCs w:val="20"/>
      <w:lang w:eastAsia="pl-PL"/>
    </w:rPr>
  </w:style>
  <w:style w:type="character" w:customStyle="1" w:styleId="Tekstpodstawowy2Znak">
    <w:name w:val="Tekst podstawowy 2 Znak"/>
    <w:link w:val="Tekstpodstawowy2"/>
    <w:rsid w:val="00384B24"/>
    <w:rPr>
      <w:rFonts w:ascii="Times New Roman" w:eastAsia="Times New Roman" w:hAnsi="Times New Roman"/>
      <w:sz w:val="24"/>
    </w:rPr>
  </w:style>
  <w:style w:type="paragraph" w:styleId="Tekstpodstawowy3">
    <w:name w:val="Body Text 3"/>
    <w:basedOn w:val="Normalny"/>
    <w:link w:val="Tekstpodstawowy3Znak"/>
    <w:unhideWhenUsed/>
    <w:rsid w:val="00384B24"/>
    <w:rPr>
      <w:rFonts w:ascii="Times New Roman" w:eastAsia="Times New Roman" w:hAnsi="Times New Roman"/>
      <w:b/>
      <w:bCs/>
      <w:sz w:val="28"/>
    </w:rPr>
  </w:style>
  <w:style w:type="character" w:customStyle="1" w:styleId="Tekstpodstawowy3Znak">
    <w:name w:val="Tekst podstawowy 3 Znak"/>
    <w:link w:val="Tekstpodstawowy3"/>
    <w:rsid w:val="00384B24"/>
    <w:rPr>
      <w:rFonts w:ascii="Times New Roman" w:eastAsia="Times New Roman" w:hAnsi="Times New Roman"/>
      <w:b/>
      <w:bCs/>
      <w:sz w:val="28"/>
      <w:szCs w:val="24"/>
      <w:lang w:eastAsia="en-US"/>
    </w:rPr>
  </w:style>
  <w:style w:type="paragraph" w:customStyle="1" w:styleId="NA">
    <w:name w:val="N/A"/>
    <w:basedOn w:val="Normalny"/>
    <w:rsid w:val="00384B24"/>
    <w:pPr>
      <w:tabs>
        <w:tab w:val="left" w:pos="9000"/>
        <w:tab w:val="right" w:pos="9360"/>
      </w:tabs>
      <w:suppressAutoHyphens/>
      <w:jc w:val="both"/>
    </w:pPr>
    <w:rPr>
      <w:rFonts w:ascii="Arial" w:eastAsia="Times New Roman" w:hAnsi="Arial"/>
      <w:szCs w:val="20"/>
      <w:lang w:val="en-US"/>
    </w:rPr>
  </w:style>
  <w:style w:type="paragraph" w:customStyle="1" w:styleId="Default">
    <w:name w:val="Default"/>
    <w:rsid w:val="00384B24"/>
    <w:pPr>
      <w:autoSpaceDE w:val="0"/>
      <w:autoSpaceDN w:val="0"/>
      <w:adjustRightInd w:val="0"/>
    </w:pPr>
    <w:rPr>
      <w:rFonts w:ascii="Calibri" w:eastAsia="Times New Roman" w:hAnsi="Calibri" w:cs="Calibri"/>
      <w:color w:val="000000"/>
      <w:sz w:val="24"/>
      <w:szCs w:val="24"/>
    </w:rPr>
  </w:style>
  <w:style w:type="paragraph" w:styleId="Tekstpodstawowywcity2">
    <w:name w:val="Body Text Indent 2"/>
    <w:basedOn w:val="Normalny"/>
    <w:link w:val="Tekstpodstawowywcity2Znak"/>
    <w:uiPriority w:val="99"/>
    <w:semiHidden/>
    <w:unhideWhenUsed/>
    <w:rsid w:val="007177C6"/>
    <w:pPr>
      <w:spacing w:after="120" w:line="480" w:lineRule="auto"/>
      <w:ind w:left="283"/>
    </w:pPr>
  </w:style>
  <w:style w:type="character" w:customStyle="1" w:styleId="Tekstpodstawowywcity2Znak">
    <w:name w:val="Tekst podstawowy wcięty 2 Znak"/>
    <w:link w:val="Tekstpodstawowywcity2"/>
    <w:uiPriority w:val="99"/>
    <w:semiHidden/>
    <w:rsid w:val="007177C6"/>
    <w:rPr>
      <w:sz w:val="24"/>
      <w:szCs w:val="24"/>
      <w:lang w:eastAsia="en-US"/>
    </w:rPr>
  </w:style>
  <w:style w:type="character" w:styleId="Odwoaniedokomentarza">
    <w:name w:val="annotation reference"/>
    <w:uiPriority w:val="99"/>
    <w:semiHidden/>
    <w:unhideWhenUsed/>
    <w:rsid w:val="007177C6"/>
    <w:rPr>
      <w:sz w:val="16"/>
      <w:szCs w:val="16"/>
    </w:rPr>
  </w:style>
  <w:style w:type="paragraph" w:styleId="Spistreci2">
    <w:name w:val="toc 2"/>
    <w:basedOn w:val="Normalny"/>
    <w:next w:val="Normalny"/>
    <w:autoRedefine/>
    <w:uiPriority w:val="39"/>
    <w:unhideWhenUsed/>
    <w:rsid w:val="00656694"/>
    <w:pPr>
      <w:ind w:left="220"/>
    </w:pPr>
  </w:style>
  <w:style w:type="character" w:styleId="UyteHipercze">
    <w:name w:val="FollowedHyperlink"/>
    <w:uiPriority w:val="99"/>
    <w:semiHidden/>
    <w:unhideWhenUsed/>
    <w:rsid w:val="008741ED"/>
    <w:rPr>
      <w:color w:val="800080"/>
      <w:u w:val="single"/>
    </w:rPr>
  </w:style>
  <w:style w:type="paragraph" w:styleId="Tematkomentarza">
    <w:name w:val="annotation subject"/>
    <w:basedOn w:val="Tekstkomentarza"/>
    <w:next w:val="Tekstkomentarza"/>
    <w:link w:val="TematkomentarzaZnak"/>
    <w:uiPriority w:val="99"/>
    <w:semiHidden/>
    <w:unhideWhenUsed/>
    <w:rsid w:val="00FD36F1"/>
    <w:pPr>
      <w:spacing w:after="0"/>
    </w:pPr>
    <w:rPr>
      <w:rFonts w:ascii="Arial Narrow" w:eastAsia="Cambria" w:hAnsi="Arial Narrow"/>
      <w:b/>
      <w:bCs/>
    </w:rPr>
  </w:style>
  <w:style w:type="character" w:customStyle="1" w:styleId="TematkomentarzaZnak">
    <w:name w:val="Temat komentarza Znak"/>
    <w:link w:val="Tematkomentarza"/>
    <w:uiPriority w:val="99"/>
    <w:semiHidden/>
    <w:rsid w:val="00FD36F1"/>
    <w:rPr>
      <w:rFonts w:ascii="Arial Narrow" w:eastAsia="Calibri" w:hAnsi="Arial Narrow"/>
      <w:b/>
      <w:bCs/>
      <w:lang w:eastAsia="en-US"/>
    </w:rPr>
  </w:style>
  <w:style w:type="paragraph" w:customStyle="1" w:styleId="CM1">
    <w:name w:val="CM1"/>
    <w:basedOn w:val="Default"/>
    <w:next w:val="Default"/>
    <w:uiPriority w:val="99"/>
    <w:rsid w:val="009E02D7"/>
    <w:pPr>
      <w:suppressAutoHyphens/>
      <w:autoSpaceDE/>
      <w:autoSpaceDN/>
      <w:adjustRightInd/>
      <w:spacing w:before="200" w:after="200"/>
    </w:pPr>
    <w:rPr>
      <w:rFonts w:ascii="TimesNewRomanPSMT" w:eastAsia="Cambria" w:hAnsi="TimesNewRomanPSMT" w:cs="Courier New"/>
      <w:color w:va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85389">
      <w:bodyDiv w:val="1"/>
      <w:marLeft w:val="0"/>
      <w:marRight w:val="0"/>
      <w:marTop w:val="0"/>
      <w:marBottom w:val="0"/>
      <w:divBdr>
        <w:top w:val="none" w:sz="0" w:space="0" w:color="auto"/>
        <w:left w:val="none" w:sz="0" w:space="0" w:color="auto"/>
        <w:bottom w:val="none" w:sz="0" w:space="0" w:color="auto"/>
        <w:right w:val="none" w:sz="0" w:space="0" w:color="auto"/>
      </w:divBdr>
    </w:div>
    <w:div w:id="170418519">
      <w:bodyDiv w:val="1"/>
      <w:marLeft w:val="0"/>
      <w:marRight w:val="0"/>
      <w:marTop w:val="0"/>
      <w:marBottom w:val="0"/>
      <w:divBdr>
        <w:top w:val="none" w:sz="0" w:space="0" w:color="auto"/>
        <w:left w:val="none" w:sz="0" w:space="0" w:color="auto"/>
        <w:bottom w:val="none" w:sz="0" w:space="0" w:color="auto"/>
        <w:right w:val="none" w:sz="0" w:space="0" w:color="auto"/>
      </w:divBdr>
    </w:div>
    <w:div w:id="523326444">
      <w:bodyDiv w:val="1"/>
      <w:marLeft w:val="0"/>
      <w:marRight w:val="0"/>
      <w:marTop w:val="0"/>
      <w:marBottom w:val="0"/>
      <w:divBdr>
        <w:top w:val="none" w:sz="0" w:space="0" w:color="auto"/>
        <w:left w:val="none" w:sz="0" w:space="0" w:color="auto"/>
        <w:bottom w:val="none" w:sz="0" w:space="0" w:color="auto"/>
        <w:right w:val="none" w:sz="0" w:space="0" w:color="auto"/>
      </w:divBdr>
    </w:div>
    <w:div w:id="760420220">
      <w:bodyDiv w:val="1"/>
      <w:marLeft w:val="0"/>
      <w:marRight w:val="0"/>
      <w:marTop w:val="0"/>
      <w:marBottom w:val="0"/>
      <w:divBdr>
        <w:top w:val="none" w:sz="0" w:space="0" w:color="auto"/>
        <w:left w:val="none" w:sz="0" w:space="0" w:color="auto"/>
        <w:bottom w:val="none" w:sz="0" w:space="0" w:color="auto"/>
        <w:right w:val="none" w:sz="0" w:space="0" w:color="auto"/>
      </w:divBdr>
    </w:div>
    <w:div w:id="1038050802">
      <w:bodyDiv w:val="1"/>
      <w:marLeft w:val="0"/>
      <w:marRight w:val="0"/>
      <w:marTop w:val="0"/>
      <w:marBottom w:val="0"/>
      <w:divBdr>
        <w:top w:val="none" w:sz="0" w:space="0" w:color="auto"/>
        <w:left w:val="none" w:sz="0" w:space="0" w:color="auto"/>
        <w:bottom w:val="none" w:sz="0" w:space="0" w:color="auto"/>
        <w:right w:val="none" w:sz="0" w:space="0" w:color="auto"/>
      </w:divBdr>
    </w:div>
    <w:div w:id="1499082067">
      <w:bodyDiv w:val="1"/>
      <w:marLeft w:val="0"/>
      <w:marRight w:val="0"/>
      <w:marTop w:val="0"/>
      <w:marBottom w:val="0"/>
      <w:divBdr>
        <w:top w:val="none" w:sz="0" w:space="0" w:color="auto"/>
        <w:left w:val="none" w:sz="0" w:space="0" w:color="auto"/>
        <w:bottom w:val="none" w:sz="0" w:space="0" w:color="auto"/>
        <w:right w:val="none" w:sz="0" w:space="0" w:color="auto"/>
      </w:divBdr>
      <w:divsChild>
        <w:div w:id="60181576">
          <w:marLeft w:val="0"/>
          <w:marRight w:val="0"/>
          <w:marTop w:val="0"/>
          <w:marBottom w:val="0"/>
          <w:divBdr>
            <w:top w:val="none" w:sz="0" w:space="0" w:color="auto"/>
            <w:left w:val="none" w:sz="0" w:space="0" w:color="auto"/>
            <w:bottom w:val="none" w:sz="0" w:space="0" w:color="auto"/>
            <w:right w:val="none" w:sz="0" w:space="0" w:color="auto"/>
          </w:divBdr>
        </w:div>
        <w:div w:id="93866496">
          <w:marLeft w:val="0"/>
          <w:marRight w:val="0"/>
          <w:marTop w:val="0"/>
          <w:marBottom w:val="0"/>
          <w:divBdr>
            <w:top w:val="none" w:sz="0" w:space="0" w:color="auto"/>
            <w:left w:val="none" w:sz="0" w:space="0" w:color="auto"/>
            <w:bottom w:val="none" w:sz="0" w:space="0" w:color="auto"/>
            <w:right w:val="none" w:sz="0" w:space="0" w:color="auto"/>
          </w:divBdr>
        </w:div>
        <w:div w:id="228881666">
          <w:marLeft w:val="0"/>
          <w:marRight w:val="0"/>
          <w:marTop w:val="0"/>
          <w:marBottom w:val="0"/>
          <w:divBdr>
            <w:top w:val="none" w:sz="0" w:space="0" w:color="auto"/>
            <w:left w:val="none" w:sz="0" w:space="0" w:color="auto"/>
            <w:bottom w:val="none" w:sz="0" w:space="0" w:color="auto"/>
            <w:right w:val="none" w:sz="0" w:space="0" w:color="auto"/>
          </w:divBdr>
        </w:div>
        <w:div w:id="256402081">
          <w:marLeft w:val="0"/>
          <w:marRight w:val="0"/>
          <w:marTop w:val="0"/>
          <w:marBottom w:val="0"/>
          <w:divBdr>
            <w:top w:val="none" w:sz="0" w:space="0" w:color="auto"/>
            <w:left w:val="none" w:sz="0" w:space="0" w:color="auto"/>
            <w:bottom w:val="none" w:sz="0" w:space="0" w:color="auto"/>
            <w:right w:val="none" w:sz="0" w:space="0" w:color="auto"/>
          </w:divBdr>
        </w:div>
        <w:div w:id="295455267">
          <w:marLeft w:val="0"/>
          <w:marRight w:val="0"/>
          <w:marTop w:val="0"/>
          <w:marBottom w:val="0"/>
          <w:divBdr>
            <w:top w:val="none" w:sz="0" w:space="0" w:color="auto"/>
            <w:left w:val="none" w:sz="0" w:space="0" w:color="auto"/>
            <w:bottom w:val="none" w:sz="0" w:space="0" w:color="auto"/>
            <w:right w:val="none" w:sz="0" w:space="0" w:color="auto"/>
          </w:divBdr>
        </w:div>
        <w:div w:id="297105936">
          <w:marLeft w:val="0"/>
          <w:marRight w:val="0"/>
          <w:marTop w:val="0"/>
          <w:marBottom w:val="0"/>
          <w:divBdr>
            <w:top w:val="none" w:sz="0" w:space="0" w:color="auto"/>
            <w:left w:val="none" w:sz="0" w:space="0" w:color="auto"/>
            <w:bottom w:val="none" w:sz="0" w:space="0" w:color="auto"/>
            <w:right w:val="none" w:sz="0" w:space="0" w:color="auto"/>
          </w:divBdr>
        </w:div>
        <w:div w:id="379943420">
          <w:marLeft w:val="0"/>
          <w:marRight w:val="0"/>
          <w:marTop w:val="0"/>
          <w:marBottom w:val="0"/>
          <w:divBdr>
            <w:top w:val="none" w:sz="0" w:space="0" w:color="auto"/>
            <w:left w:val="none" w:sz="0" w:space="0" w:color="auto"/>
            <w:bottom w:val="none" w:sz="0" w:space="0" w:color="auto"/>
            <w:right w:val="none" w:sz="0" w:space="0" w:color="auto"/>
          </w:divBdr>
        </w:div>
        <w:div w:id="441344386">
          <w:marLeft w:val="0"/>
          <w:marRight w:val="0"/>
          <w:marTop w:val="0"/>
          <w:marBottom w:val="0"/>
          <w:divBdr>
            <w:top w:val="none" w:sz="0" w:space="0" w:color="auto"/>
            <w:left w:val="none" w:sz="0" w:space="0" w:color="auto"/>
            <w:bottom w:val="none" w:sz="0" w:space="0" w:color="auto"/>
            <w:right w:val="none" w:sz="0" w:space="0" w:color="auto"/>
          </w:divBdr>
        </w:div>
        <w:div w:id="478227375">
          <w:marLeft w:val="0"/>
          <w:marRight w:val="0"/>
          <w:marTop w:val="0"/>
          <w:marBottom w:val="0"/>
          <w:divBdr>
            <w:top w:val="none" w:sz="0" w:space="0" w:color="auto"/>
            <w:left w:val="none" w:sz="0" w:space="0" w:color="auto"/>
            <w:bottom w:val="none" w:sz="0" w:space="0" w:color="auto"/>
            <w:right w:val="none" w:sz="0" w:space="0" w:color="auto"/>
          </w:divBdr>
        </w:div>
        <w:div w:id="521676142">
          <w:marLeft w:val="0"/>
          <w:marRight w:val="0"/>
          <w:marTop w:val="0"/>
          <w:marBottom w:val="0"/>
          <w:divBdr>
            <w:top w:val="none" w:sz="0" w:space="0" w:color="auto"/>
            <w:left w:val="none" w:sz="0" w:space="0" w:color="auto"/>
            <w:bottom w:val="none" w:sz="0" w:space="0" w:color="auto"/>
            <w:right w:val="none" w:sz="0" w:space="0" w:color="auto"/>
          </w:divBdr>
        </w:div>
        <w:div w:id="559094158">
          <w:marLeft w:val="0"/>
          <w:marRight w:val="0"/>
          <w:marTop w:val="0"/>
          <w:marBottom w:val="0"/>
          <w:divBdr>
            <w:top w:val="none" w:sz="0" w:space="0" w:color="auto"/>
            <w:left w:val="none" w:sz="0" w:space="0" w:color="auto"/>
            <w:bottom w:val="none" w:sz="0" w:space="0" w:color="auto"/>
            <w:right w:val="none" w:sz="0" w:space="0" w:color="auto"/>
          </w:divBdr>
        </w:div>
        <w:div w:id="596600714">
          <w:marLeft w:val="0"/>
          <w:marRight w:val="0"/>
          <w:marTop w:val="0"/>
          <w:marBottom w:val="0"/>
          <w:divBdr>
            <w:top w:val="none" w:sz="0" w:space="0" w:color="auto"/>
            <w:left w:val="none" w:sz="0" w:space="0" w:color="auto"/>
            <w:bottom w:val="none" w:sz="0" w:space="0" w:color="auto"/>
            <w:right w:val="none" w:sz="0" w:space="0" w:color="auto"/>
          </w:divBdr>
        </w:div>
        <w:div w:id="609779496">
          <w:marLeft w:val="0"/>
          <w:marRight w:val="0"/>
          <w:marTop w:val="0"/>
          <w:marBottom w:val="0"/>
          <w:divBdr>
            <w:top w:val="none" w:sz="0" w:space="0" w:color="auto"/>
            <w:left w:val="none" w:sz="0" w:space="0" w:color="auto"/>
            <w:bottom w:val="none" w:sz="0" w:space="0" w:color="auto"/>
            <w:right w:val="none" w:sz="0" w:space="0" w:color="auto"/>
          </w:divBdr>
        </w:div>
        <w:div w:id="669018357">
          <w:marLeft w:val="0"/>
          <w:marRight w:val="0"/>
          <w:marTop w:val="0"/>
          <w:marBottom w:val="0"/>
          <w:divBdr>
            <w:top w:val="none" w:sz="0" w:space="0" w:color="auto"/>
            <w:left w:val="none" w:sz="0" w:space="0" w:color="auto"/>
            <w:bottom w:val="none" w:sz="0" w:space="0" w:color="auto"/>
            <w:right w:val="none" w:sz="0" w:space="0" w:color="auto"/>
          </w:divBdr>
        </w:div>
        <w:div w:id="751969664">
          <w:marLeft w:val="0"/>
          <w:marRight w:val="0"/>
          <w:marTop w:val="0"/>
          <w:marBottom w:val="0"/>
          <w:divBdr>
            <w:top w:val="none" w:sz="0" w:space="0" w:color="auto"/>
            <w:left w:val="none" w:sz="0" w:space="0" w:color="auto"/>
            <w:bottom w:val="none" w:sz="0" w:space="0" w:color="auto"/>
            <w:right w:val="none" w:sz="0" w:space="0" w:color="auto"/>
          </w:divBdr>
        </w:div>
        <w:div w:id="766388765">
          <w:marLeft w:val="0"/>
          <w:marRight w:val="0"/>
          <w:marTop w:val="0"/>
          <w:marBottom w:val="0"/>
          <w:divBdr>
            <w:top w:val="none" w:sz="0" w:space="0" w:color="auto"/>
            <w:left w:val="none" w:sz="0" w:space="0" w:color="auto"/>
            <w:bottom w:val="none" w:sz="0" w:space="0" w:color="auto"/>
            <w:right w:val="none" w:sz="0" w:space="0" w:color="auto"/>
          </w:divBdr>
        </w:div>
        <w:div w:id="771706644">
          <w:marLeft w:val="0"/>
          <w:marRight w:val="0"/>
          <w:marTop w:val="0"/>
          <w:marBottom w:val="0"/>
          <w:divBdr>
            <w:top w:val="none" w:sz="0" w:space="0" w:color="auto"/>
            <w:left w:val="none" w:sz="0" w:space="0" w:color="auto"/>
            <w:bottom w:val="none" w:sz="0" w:space="0" w:color="auto"/>
            <w:right w:val="none" w:sz="0" w:space="0" w:color="auto"/>
          </w:divBdr>
        </w:div>
        <w:div w:id="822241430">
          <w:marLeft w:val="0"/>
          <w:marRight w:val="0"/>
          <w:marTop w:val="0"/>
          <w:marBottom w:val="0"/>
          <w:divBdr>
            <w:top w:val="none" w:sz="0" w:space="0" w:color="auto"/>
            <w:left w:val="none" w:sz="0" w:space="0" w:color="auto"/>
            <w:bottom w:val="none" w:sz="0" w:space="0" w:color="auto"/>
            <w:right w:val="none" w:sz="0" w:space="0" w:color="auto"/>
          </w:divBdr>
        </w:div>
        <w:div w:id="833298593">
          <w:marLeft w:val="0"/>
          <w:marRight w:val="0"/>
          <w:marTop w:val="0"/>
          <w:marBottom w:val="0"/>
          <w:divBdr>
            <w:top w:val="none" w:sz="0" w:space="0" w:color="auto"/>
            <w:left w:val="none" w:sz="0" w:space="0" w:color="auto"/>
            <w:bottom w:val="none" w:sz="0" w:space="0" w:color="auto"/>
            <w:right w:val="none" w:sz="0" w:space="0" w:color="auto"/>
          </w:divBdr>
        </w:div>
        <w:div w:id="850415038">
          <w:marLeft w:val="0"/>
          <w:marRight w:val="0"/>
          <w:marTop w:val="0"/>
          <w:marBottom w:val="0"/>
          <w:divBdr>
            <w:top w:val="none" w:sz="0" w:space="0" w:color="auto"/>
            <w:left w:val="none" w:sz="0" w:space="0" w:color="auto"/>
            <w:bottom w:val="none" w:sz="0" w:space="0" w:color="auto"/>
            <w:right w:val="none" w:sz="0" w:space="0" w:color="auto"/>
          </w:divBdr>
        </w:div>
        <w:div w:id="905605000">
          <w:marLeft w:val="0"/>
          <w:marRight w:val="0"/>
          <w:marTop w:val="0"/>
          <w:marBottom w:val="0"/>
          <w:divBdr>
            <w:top w:val="none" w:sz="0" w:space="0" w:color="auto"/>
            <w:left w:val="none" w:sz="0" w:space="0" w:color="auto"/>
            <w:bottom w:val="none" w:sz="0" w:space="0" w:color="auto"/>
            <w:right w:val="none" w:sz="0" w:space="0" w:color="auto"/>
          </w:divBdr>
        </w:div>
        <w:div w:id="1004434633">
          <w:marLeft w:val="0"/>
          <w:marRight w:val="0"/>
          <w:marTop w:val="0"/>
          <w:marBottom w:val="0"/>
          <w:divBdr>
            <w:top w:val="none" w:sz="0" w:space="0" w:color="auto"/>
            <w:left w:val="none" w:sz="0" w:space="0" w:color="auto"/>
            <w:bottom w:val="none" w:sz="0" w:space="0" w:color="auto"/>
            <w:right w:val="none" w:sz="0" w:space="0" w:color="auto"/>
          </w:divBdr>
        </w:div>
        <w:div w:id="1029526680">
          <w:marLeft w:val="0"/>
          <w:marRight w:val="0"/>
          <w:marTop w:val="0"/>
          <w:marBottom w:val="0"/>
          <w:divBdr>
            <w:top w:val="none" w:sz="0" w:space="0" w:color="auto"/>
            <w:left w:val="none" w:sz="0" w:space="0" w:color="auto"/>
            <w:bottom w:val="none" w:sz="0" w:space="0" w:color="auto"/>
            <w:right w:val="none" w:sz="0" w:space="0" w:color="auto"/>
          </w:divBdr>
        </w:div>
        <w:div w:id="1065225548">
          <w:marLeft w:val="0"/>
          <w:marRight w:val="0"/>
          <w:marTop w:val="0"/>
          <w:marBottom w:val="0"/>
          <w:divBdr>
            <w:top w:val="none" w:sz="0" w:space="0" w:color="auto"/>
            <w:left w:val="none" w:sz="0" w:space="0" w:color="auto"/>
            <w:bottom w:val="none" w:sz="0" w:space="0" w:color="auto"/>
            <w:right w:val="none" w:sz="0" w:space="0" w:color="auto"/>
          </w:divBdr>
        </w:div>
        <w:div w:id="1118642437">
          <w:marLeft w:val="0"/>
          <w:marRight w:val="0"/>
          <w:marTop w:val="0"/>
          <w:marBottom w:val="0"/>
          <w:divBdr>
            <w:top w:val="none" w:sz="0" w:space="0" w:color="auto"/>
            <w:left w:val="none" w:sz="0" w:space="0" w:color="auto"/>
            <w:bottom w:val="none" w:sz="0" w:space="0" w:color="auto"/>
            <w:right w:val="none" w:sz="0" w:space="0" w:color="auto"/>
          </w:divBdr>
        </w:div>
        <w:div w:id="1119689858">
          <w:marLeft w:val="0"/>
          <w:marRight w:val="0"/>
          <w:marTop w:val="0"/>
          <w:marBottom w:val="0"/>
          <w:divBdr>
            <w:top w:val="none" w:sz="0" w:space="0" w:color="auto"/>
            <w:left w:val="none" w:sz="0" w:space="0" w:color="auto"/>
            <w:bottom w:val="none" w:sz="0" w:space="0" w:color="auto"/>
            <w:right w:val="none" w:sz="0" w:space="0" w:color="auto"/>
          </w:divBdr>
        </w:div>
        <w:div w:id="1165440565">
          <w:marLeft w:val="0"/>
          <w:marRight w:val="0"/>
          <w:marTop w:val="0"/>
          <w:marBottom w:val="0"/>
          <w:divBdr>
            <w:top w:val="none" w:sz="0" w:space="0" w:color="auto"/>
            <w:left w:val="none" w:sz="0" w:space="0" w:color="auto"/>
            <w:bottom w:val="none" w:sz="0" w:space="0" w:color="auto"/>
            <w:right w:val="none" w:sz="0" w:space="0" w:color="auto"/>
          </w:divBdr>
        </w:div>
        <w:div w:id="1229263083">
          <w:marLeft w:val="0"/>
          <w:marRight w:val="0"/>
          <w:marTop w:val="0"/>
          <w:marBottom w:val="0"/>
          <w:divBdr>
            <w:top w:val="none" w:sz="0" w:space="0" w:color="auto"/>
            <w:left w:val="none" w:sz="0" w:space="0" w:color="auto"/>
            <w:bottom w:val="none" w:sz="0" w:space="0" w:color="auto"/>
            <w:right w:val="none" w:sz="0" w:space="0" w:color="auto"/>
          </w:divBdr>
        </w:div>
        <w:div w:id="1231768084">
          <w:marLeft w:val="0"/>
          <w:marRight w:val="0"/>
          <w:marTop w:val="0"/>
          <w:marBottom w:val="0"/>
          <w:divBdr>
            <w:top w:val="none" w:sz="0" w:space="0" w:color="auto"/>
            <w:left w:val="none" w:sz="0" w:space="0" w:color="auto"/>
            <w:bottom w:val="none" w:sz="0" w:space="0" w:color="auto"/>
            <w:right w:val="none" w:sz="0" w:space="0" w:color="auto"/>
          </w:divBdr>
        </w:div>
        <w:div w:id="1294944123">
          <w:marLeft w:val="0"/>
          <w:marRight w:val="0"/>
          <w:marTop w:val="0"/>
          <w:marBottom w:val="0"/>
          <w:divBdr>
            <w:top w:val="none" w:sz="0" w:space="0" w:color="auto"/>
            <w:left w:val="none" w:sz="0" w:space="0" w:color="auto"/>
            <w:bottom w:val="none" w:sz="0" w:space="0" w:color="auto"/>
            <w:right w:val="none" w:sz="0" w:space="0" w:color="auto"/>
          </w:divBdr>
        </w:div>
        <w:div w:id="1368339404">
          <w:marLeft w:val="0"/>
          <w:marRight w:val="0"/>
          <w:marTop w:val="0"/>
          <w:marBottom w:val="0"/>
          <w:divBdr>
            <w:top w:val="none" w:sz="0" w:space="0" w:color="auto"/>
            <w:left w:val="none" w:sz="0" w:space="0" w:color="auto"/>
            <w:bottom w:val="none" w:sz="0" w:space="0" w:color="auto"/>
            <w:right w:val="none" w:sz="0" w:space="0" w:color="auto"/>
          </w:divBdr>
        </w:div>
        <w:div w:id="1370256252">
          <w:marLeft w:val="0"/>
          <w:marRight w:val="0"/>
          <w:marTop w:val="0"/>
          <w:marBottom w:val="0"/>
          <w:divBdr>
            <w:top w:val="none" w:sz="0" w:space="0" w:color="auto"/>
            <w:left w:val="none" w:sz="0" w:space="0" w:color="auto"/>
            <w:bottom w:val="none" w:sz="0" w:space="0" w:color="auto"/>
            <w:right w:val="none" w:sz="0" w:space="0" w:color="auto"/>
          </w:divBdr>
        </w:div>
        <w:div w:id="1426263746">
          <w:marLeft w:val="0"/>
          <w:marRight w:val="0"/>
          <w:marTop w:val="0"/>
          <w:marBottom w:val="0"/>
          <w:divBdr>
            <w:top w:val="none" w:sz="0" w:space="0" w:color="auto"/>
            <w:left w:val="none" w:sz="0" w:space="0" w:color="auto"/>
            <w:bottom w:val="none" w:sz="0" w:space="0" w:color="auto"/>
            <w:right w:val="none" w:sz="0" w:space="0" w:color="auto"/>
          </w:divBdr>
        </w:div>
        <w:div w:id="1465079973">
          <w:marLeft w:val="0"/>
          <w:marRight w:val="0"/>
          <w:marTop w:val="0"/>
          <w:marBottom w:val="0"/>
          <w:divBdr>
            <w:top w:val="none" w:sz="0" w:space="0" w:color="auto"/>
            <w:left w:val="none" w:sz="0" w:space="0" w:color="auto"/>
            <w:bottom w:val="none" w:sz="0" w:space="0" w:color="auto"/>
            <w:right w:val="none" w:sz="0" w:space="0" w:color="auto"/>
          </w:divBdr>
        </w:div>
        <w:div w:id="1503661156">
          <w:marLeft w:val="0"/>
          <w:marRight w:val="0"/>
          <w:marTop w:val="0"/>
          <w:marBottom w:val="0"/>
          <w:divBdr>
            <w:top w:val="none" w:sz="0" w:space="0" w:color="auto"/>
            <w:left w:val="none" w:sz="0" w:space="0" w:color="auto"/>
            <w:bottom w:val="none" w:sz="0" w:space="0" w:color="auto"/>
            <w:right w:val="none" w:sz="0" w:space="0" w:color="auto"/>
          </w:divBdr>
        </w:div>
        <w:div w:id="1510096826">
          <w:marLeft w:val="0"/>
          <w:marRight w:val="0"/>
          <w:marTop w:val="0"/>
          <w:marBottom w:val="0"/>
          <w:divBdr>
            <w:top w:val="none" w:sz="0" w:space="0" w:color="auto"/>
            <w:left w:val="none" w:sz="0" w:space="0" w:color="auto"/>
            <w:bottom w:val="none" w:sz="0" w:space="0" w:color="auto"/>
            <w:right w:val="none" w:sz="0" w:space="0" w:color="auto"/>
          </w:divBdr>
        </w:div>
        <w:div w:id="1526333884">
          <w:marLeft w:val="0"/>
          <w:marRight w:val="0"/>
          <w:marTop w:val="0"/>
          <w:marBottom w:val="0"/>
          <w:divBdr>
            <w:top w:val="none" w:sz="0" w:space="0" w:color="auto"/>
            <w:left w:val="none" w:sz="0" w:space="0" w:color="auto"/>
            <w:bottom w:val="none" w:sz="0" w:space="0" w:color="auto"/>
            <w:right w:val="none" w:sz="0" w:space="0" w:color="auto"/>
          </w:divBdr>
        </w:div>
        <w:div w:id="1586722335">
          <w:marLeft w:val="0"/>
          <w:marRight w:val="0"/>
          <w:marTop w:val="0"/>
          <w:marBottom w:val="0"/>
          <w:divBdr>
            <w:top w:val="none" w:sz="0" w:space="0" w:color="auto"/>
            <w:left w:val="none" w:sz="0" w:space="0" w:color="auto"/>
            <w:bottom w:val="none" w:sz="0" w:space="0" w:color="auto"/>
            <w:right w:val="none" w:sz="0" w:space="0" w:color="auto"/>
          </w:divBdr>
        </w:div>
        <w:div w:id="1607729727">
          <w:marLeft w:val="0"/>
          <w:marRight w:val="0"/>
          <w:marTop w:val="0"/>
          <w:marBottom w:val="0"/>
          <w:divBdr>
            <w:top w:val="none" w:sz="0" w:space="0" w:color="auto"/>
            <w:left w:val="none" w:sz="0" w:space="0" w:color="auto"/>
            <w:bottom w:val="none" w:sz="0" w:space="0" w:color="auto"/>
            <w:right w:val="none" w:sz="0" w:space="0" w:color="auto"/>
          </w:divBdr>
        </w:div>
        <w:div w:id="1632126031">
          <w:marLeft w:val="0"/>
          <w:marRight w:val="0"/>
          <w:marTop w:val="0"/>
          <w:marBottom w:val="0"/>
          <w:divBdr>
            <w:top w:val="none" w:sz="0" w:space="0" w:color="auto"/>
            <w:left w:val="none" w:sz="0" w:space="0" w:color="auto"/>
            <w:bottom w:val="none" w:sz="0" w:space="0" w:color="auto"/>
            <w:right w:val="none" w:sz="0" w:space="0" w:color="auto"/>
          </w:divBdr>
        </w:div>
        <w:div w:id="1645305715">
          <w:marLeft w:val="0"/>
          <w:marRight w:val="0"/>
          <w:marTop w:val="0"/>
          <w:marBottom w:val="0"/>
          <w:divBdr>
            <w:top w:val="none" w:sz="0" w:space="0" w:color="auto"/>
            <w:left w:val="none" w:sz="0" w:space="0" w:color="auto"/>
            <w:bottom w:val="none" w:sz="0" w:space="0" w:color="auto"/>
            <w:right w:val="none" w:sz="0" w:space="0" w:color="auto"/>
          </w:divBdr>
        </w:div>
        <w:div w:id="1712029134">
          <w:marLeft w:val="0"/>
          <w:marRight w:val="0"/>
          <w:marTop w:val="0"/>
          <w:marBottom w:val="0"/>
          <w:divBdr>
            <w:top w:val="none" w:sz="0" w:space="0" w:color="auto"/>
            <w:left w:val="none" w:sz="0" w:space="0" w:color="auto"/>
            <w:bottom w:val="none" w:sz="0" w:space="0" w:color="auto"/>
            <w:right w:val="none" w:sz="0" w:space="0" w:color="auto"/>
          </w:divBdr>
        </w:div>
        <w:div w:id="1713454952">
          <w:marLeft w:val="0"/>
          <w:marRight w:val="0"/>
          <w:marTop w:val="0"/>
          <w:marBottom w:val="0"/>
          <w:divBdr>
            <w:top w:val="none" w:sz="0" w:space="0" w:color="auto"/>
            <w:left w:val="none" w:sz="0" w:space="0" w:color="auto"/>
            <w:bottom w:val="none" w:sz="0" w:space="0" w:color="auto"/>
            <w:right w:val="none" w:sz="0" w:space="0" w:color="auto"/>
          </w:divBdr>
        </w:div>
        <w:div w:id="1733770958">
          <w:marLeft w:val="0"/>
          <w:marRight w:val="0"/>
          <w:marTop w:val="0"/>
          <w:marBottom w:val="0"/>
          <w:divBdr>
            <w:top w:val="none" w:sz="0" w:space="0" w:color="auto"/>
            <w:left w:val="none" w:sz="0" w:space="0" w:color="auto"/>
            <w:bottom w:val="none" w:sz="0" w:space="0" w:color="auto"/>
            <w:right w:val="none" w:sz="0" w:space="0" w:color="auto"/>
          </w:divBdr>
        </w:div>
        <w:div w:id="1763254487">
          <w:marLeft w:val="0"/>
          <w:marRight w:val="0"/>
          <w:marTop w:val="0"/>
          <w:marBottom w:val="0"/>
          <w:divBdr>
            <w:top w:val="none" w:sz="0" w:space="0" w:color="auto"/>
            <w:left w:val="none" w:sz="0" w:space="0" w:color="auto"/>
            <w:bottom w:val="none" w:sz="0" w:space="0" w:color="auto"/>
            <w:right w:val="none" w:sz="0" w:space="0" w:color="auto"/>
          </w:divBdr>
        </w:div>
        <w:div w:id="1880163786">
          <w:marLeft w:val="0"/>
          <w:marRight w:val="0"/>
          <w:marTop w:val="0"/>
          <w:marBottom w:val="0"/>
          <w:divBdr>
            <w:top w:val="none" w:sz="0" w:space="0" w:color="auto"/>
            <w:left w:val="none" w:sz="0" w:space="0" w:color="auto"/>
            <w:bottom w:val="none" w:sz="0" w:space="0" w:color="auto"/>
            <w:right w:val="none" w:sz="0" w:space="0" w:color="auto"/>
          </w:divBdr>
        </w:div>
        <w:div w:id="1906523759">
          <w:marLeft w:val="0"/>
          <w:marRight w:val="0"/>
          <w:marTop w:val="0"/>
          <w:marBottom w:val="0"/>
          <w:divBdr>
            <w:top w:val="none" w:sz="0" w:space="0" w:color="auto"/>
            <w:left w:val="none" w:sz="0" w:space="0" w:color="auto"/>
            <w:bottom w:val="none" w:sz="0" w:space="0" w:color="auto"/>
            <w:right w:val="none" w:sz="0" w:space="0" w:color="auto"/>
          </w:divBdr>
        </w:div>
        <w:div w:id="1990360651">
          <w:marLeft w:val="0"/>
          <w:marRight w:val="0"/>
          <w:marTop w:val="0"/>
          <w:marBottom w:val="0"/>
          <w:divBdr>
            <w:top w:val="none" w:sz="0" w:space="0" w:color="auto"/>
            <w:left w:val="none" w:sz="0" w:space="0" w:color="auto"/>
            <w:bottom w:val="none" w:sz="0" w:space="0" w:color="auto"/>
            <w:right w:val="none" w:sz="0" w:space="0" w:color="auto"/>
          </w:divBdr>
        </w:div>
        <w:div w:id="2032680789">
          <w:marLeft w:val="0"/>
          <w:marRight w:val="0"/>
          <w:marTop w:val="0"/>
          <w:marBottom w:val="0"/>
          <w:divBdr>
            <w:top w:val="none" w:sz="0" w:space="0" w:color="auto"/>
            <w:left w:val="none" w:sz="0" w:space="0" w:color="auto"/>
            <w:bottom w:val="none" w:sz="0" w:space="0" w:color="auto"/>
            <w:right w:val="none" w:sz="0" w:space="0" w:color="auto"/>
          </w:divBdr>
        </w:div>
        <w:div w:id="2056420315">
          <w:marLeft w:val="0"/>
          <w:marRight w:val="0"/>
          <w:marTop w:val="0"/>
          <w:marBottom w:val="0"/>
          <w:divBdr>
            <w:top w:val="none" w:sz="0" w:space="0" w:color="auto"/>
            <w:left w:val="none" w:sz="0" w:space="0" w:color="auto"/>
            <w:bottom w:val="none" w:sz="0" w:space="0" w:color="auto"/>
            <w:right w:val="none" w:sz="0" w:space="0" w:color="auto"/>
          </w:divBdr>
        </w:div>
        <w:div w:id="2077236068">
          <w:marLeft w:val="0"/>
          <w:marRight w:val="0"/>
          <w:marTop w:val="0"/>
          <w:marBottom w:val="0"/>
          <w:divBdr>
            <w:top w:val="none" w:sz="0" w:space="0" w:color="auto"/>
            <w:left w:val="none" w:sz="0" w:space="0" w:color="auto"/>
            <w:bottom w:val="none" w:sz="0" w:space="0" w:color="auto"/>
            <w:right w:val="none" w:sz="0" w:space="0" w:color="auto"/>
          </w:divBdr>
        </w:div>
        <w:div w:id="2096123703">
          <w:marLeft w:val="0"/>
          <w:marRight w:val="0"/>
          <w:marTop w:val="0"/>
          <w:marBottom w:val="0"/>
          <w:divBdr>
            <w:top w:val="none" w:sz="0" w:space="0" w:color="auto"/>
            <w:left w:val="none" w:sz="0" w:space="0" w:color="auto"/>
            <w:bottom w:val="none" w:sz="0" w:space="0" w:color="auto"/>
            <w:right w:val="none" w:sz="0" w:space="0" w:color="auto"/>
          </w:divBdr>
        </w:div>
        <w:div w:id="2128309957">
          <w:marLeft w:val="0"/>
          <w:marRight w:val="0"/>
          <w:marTop w:val="0"/>
          <w:marBottom w:val="0"/>
          <w:divBdr>
            <w:top w:val="none" w:sz="0" w:space="0" w:color="auto"/>
            <w:left w:val="none" w:sz="0" w:space="0" w:color="auto"/>
            <w:bottom w:val="none" w:sz="0" w:space="0" w:color="auto"/>
            <w:right w:val="none" w:sz="0" w:space="0" w:color="auto"/>
          </w:divBdr>
        </w:div>
      </w:divsChild>
    </w:div>
    <w:div w:id="1510749869">
      <w:bodyDiv w:val="1"/>
      <w:marLeft w:val="0"/>
      <w:marRight w:val="0"/>
      <w:marTop w:val="0"/>
      <w:marBottom w:val="0"/>
      <w:divBdr>
        <w:top w:val="none" w:sz="0" w:space="0" w:color="auto"/>
        <w:left w:val="none" w:sz="0" w:space="0" w:color="auto"/>
        <w:bottom w:val="none" w:sz="0" w:space="0" w:color="auto"/>
        <w:right w:val="none" w:sz="0" w:space="0" w:color="auto"/>
      </w:divBdr>
    </w:div>
    <w:div w:id="1636108555">
      <w:bodyDiv w:val="1"/>
      <w:marLeft w:val="0"/>
      <w:marRight w:val="0"/>
      <w:marTop w:val="0"/>
      <w:marBottom w:val="0"/>
      <w:divBdr>
        <w:top w:val="none" w:sz="0" w:space="0" w:color="auto"/>
        <w:left w:val="none" w:sz="0" w:space="0" w:color="auto"/>
        <w:bottom w:val="none" w:sz="0" w:space="0" w:color="auto"/>
        <w:right w:val="none" w:sz="0" w:space="0" w:color="auto"/>
      </w:divBdr>
    </w:div>
    <w:div w:id="1703439638">
      <w:bodyDiv w:val="1"/>
      <w:marLeft w:val="300"/>
      <w:marRight w:val="300"/>
      <w:marTop w:val="300"/>
      <w:marBottom w:val="300"/>
      <w:divBdr>
        <w:top w:val="none" w:sz="0" w:space="0" w:color="auto"/>
        <w:left w:val="none" w:sz="0" w:space="0" w:color="auto"/>
        <w:bottom w:val="none" w:sz="0" w:space="0" w:color="auto"/>
        <w:right w:val="none" w:sz="0" w:space="0" w:color="auto"/>
      </w:divBdr>
      <w:divsChild>
        <w:div w:id="239876940">
          <w:marLeft w:val="0"/>
          <w:marRight w:val="0"/>
          <w:marTop w:val="0"/>
          <w:marBottom w:val="0"/>
          <w:divBdr>
            <w:top w:val="none" w:sz="0" w:space="0" w:color="auto"/>
            <w:left w:val="none" w:sz="0" w:space="0" w:color="auto"/>
            <w:bottom w:val="none" w:sz="0" w:space="0" w:color="auto"/>
            <w:right w:val="none" w:sz="0" w:space="0" w:color="auto"/>
          </w:divBdr>
          <w:divsChild>
            <w:div w:id="1421104516">
              <w:marLeft w:val="600"/>
              <w:marRight w:val="0"/>
              <w:marTop w:val="0"/>
              <w:marBottom w:val="0"/>
              <w:divBdr>
                <w:top w:val="none" w:sz="0" w:space="0" w:color="auto"/>
                <w:left w:val="none" w:sz="0" w:space="0" w:color="auto"/>
                <w:bottom w:val="none" w:sz="0" w:space="0" w:color="auto"/>
                <w:right w:val="none" w:sz="0" w:space="0" w:color="auto"/>
              </w:divBdr>
            </w:div>
            <w:div w:id="1565483491">
              <w:marLeft w:val="600"/>
              <w:marRight w:val="0"/>
              <w:marTop w:val="0"/>
              <w:marBottom w:val="0"/>
              <w:divBdr>
                <w:top w:val="none" w:sz="0" w:space="0" w:color="auto"/>
                <w:left w:val="none" w:sz="0" w:space="0" w:color="auto"/>
                <w:bottom w:val="none" w:sz="0" w:space="0" w:color="auto"/>
                <w:right w:val="none" w:sz="0" w:space="0" w:color="auto"/>
              </w:divBdr>
              <w:divsChild>
                <w:div w:id="991561537">
                  <w:marLeft w:val="600"/>
                  <w:marRight w:val="0"/>
                  <w:marTop w:val="0"/>
                  <w:marBottom w:val="0"/>
                  <w:divBdr>
                    <w:top w:val="none" w:sz="0" w:space="0" w:color="auto"/>
                    <w:left w:val="none" w:sz="0" w:space="0" w:color="auto"/>
                    <w:bottom w:val="none" w:sz="0" w:space="0" w:color="auto"/>
                    <w:right w:val="none" w:sz="0" w:space="0" w:color="auto"/>
                  </w:divBdr>
                </w:div>
                <w:div w:id="186609226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781070">
      <w:bodyDiv w:val="1"/>
      <w:marLeft w:val="0"/>
      <w:marRight w:val="0"/>
      <w:marTop w:val="0"/>
      <w:marBottom w:val="0"/>
      <w:divBdr>
        <w:top w:val="none" w:sz="0" w:space="0" w:color="auto"/>
        <w:left w:val="none" w:sz="0" w:space="0" w:color="auto"/>
        <w:bottom w:val="none" w:sz="0" w:space="0" w:color="auto"/>
        <w:right w:val="none" w:sz="0" w:space="0" w:color="auto"/>
      </w:divBdr>
    </w:div>
    <w:div w:id="1844857187">
      <w:bodyDiv w:val="1"/>
      <w:marLeft w:val="0"/>
      <w:marRight w:val="0"/>
      <w:marTop w:val="0"/>
      <w:marBottom w:val="0"/>
      <w:divBdr>
        <w:top w:val="none" w:sz="0" w:space="0" w:color="auto"/>
        <w:left w:val="none" w:sz="0" w:space="0" w:color="auto"/>
        <w:bottom w:val="none" w:sz="0" w:space="0" w:color="auto"/>
        <w:right w:val="none" w:sz="0" w:space="0" w:color="auto"/>
      </w:divBdr>
    </w:div>
    <w:div w:id="1913657969">
      <w:bodyDiv w:val="1"/>
      <w:marLeft w:val="0"/>
      <w:marRight w:val="0"/>
      <w:marTop w:val="0"/>
      <w:marBottom w:val="0"/>
      <w:divBdr>
        <w:top w:val="none" w:sz="0" w:space="0" w:color="auto"/>
        <w:left w:val="none" w:sz="0" w:space="0" w:color="auto"/>
        <w:bottom w:val="none" w:sz="0" w:space="0" w:color="auto"/>
        <w:right w:val="none" w:sz="0" w:space="0" w:color="auto"/>
      </w:divBdr>
    </w:div>
    <w:div w:id="1916083153">
      <w:bodyDiv w:val="1"/>
      <w:marLeft w:val="300"/>
      <w:marRight w:val="300"/>
      <w:marTop w:val="300"/>
      <w:marBottom w:val="300"/>
      <w:divBdr>
        <w:top w:val="none" w:sz="0" w:space="0" w:color="auto"/>
        <w:left w:val="none" w:sz="0" w:space="0" w:color="auto"/>
        <w:bottom w:val="none" w:sz="0" w:space="0" w:color="auto"/>
        <w:right w:val="none" w:sz="0" w:space="0" w:color="auto"/>
      </w:divBdr>
      <w:divsChild>
        <w:div w:id="1840074520">
          <w:marLeft w:val="0"/>
          <w:marRight w:val="0"/>
          <w:marTop w:val="0"/>
          <w:marBottom w:val="0"/>
          <w:divBdr>
            <w:top w:val="none" w:sz="0" w:space="0" w:color="auto"/>
            <w:left w:val="none" w:sz="0" w:space="0" w:color="auto"/>
            <w:bottom w:val="none" w:sz="0" w:space="0" w:color="auto"/>
            <w:right w:val="none" w:sz="0" w:space="0" w:color="auto"/>
          </w:divBdr>
          <w:divsChild>
            <w:div w:id="249702220">
              <w:marLeft w:val="600"/>
              <w:marRight w:val="0"/>
              <w:marTop w:val="0"/>
              <w:marBottom w:val="0"/>
              <w:divBdr>
                <w:top w:val="none" w:sz="0" w:space="0" w:color="auto"/>
                <w:left w:val="none" w:sz="0" w:space="0" w:color="auto"/>
                <w:bottom w:val="none" w:sz="0" w:space="0" w:color="auto"/>
                <w:right w:val="none" w:sz="0" w:space="0" w:color="auto"/>
              </w:divBdr>
            </w:div>
            <w:div w:id="652105678">
              <w:marLeft w:val="600"/>
              <w:marRight w:val="0"/>
              <w:marTop w:val="0"/>
              <w:marBottom w:val="0"/>
              <w:divBdr>
                <w:top w:val="none" w:sz="0" w:space="0" w:color="auto"/>
                <w:left w:val="none" w:sz="0" w:space="0" w:color="auto"/>
                <w:bottom w:val="none" w:sz="0" w:space="0" w:color="auto"/>
                <w:right w:val="none" w:sz="0" w:space="0" w:color="auto"/>
              </w:divBdr>
              <w:divsChild>
                <w:div w:id="989478284">
                  <w:marLeft w:val="600"/>
                  <w:marRight w:val="0"/>
                  <w:marTop w:val="0"/>
                  <w:marBottom w:val="0"/>
                  <w:divBdr>
                    <w:top w:val="none" w:sz="0" w:space="0" w:color="auto"/>
                    <w:left w:val="none" w:sz="0" w:space="0" w:color="auto"/>
                    <w:bottom w:val="none" w:sz="0" w:space="0" w:color="auto"/>
                    <w:right w:val="none" w:sz="0" w:space="0" w:color="auto"/>
                  </w:divBdr>
                </w:div>
                <w:div w:id="1330206680">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ec.europa.eu/taxation_customs/business/union-customs-code/ucc-guidance-documents_en" TargetMode="External"/><Relationship Id="rId13" Type="http://schemas.openxmlformats.org/officeDocument/2006/relationships/hyperlink" Target="https://puesc.gov.pl/instrukcja-wype%C5%82niania-zg%C5%82osze%C5%84-celnych"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esc.gov.pl/uslugi/cds-uzyskaj-pozwolenie-celne-obowiazujace-w-kilku-panstwach-czlonkowskich-u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ustoms.ec.europa.eu/tpui-cdms-web/"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iznes.gov.pl/opisy-procedur/-/proc/758-pozwolenie-na-koncowe-przeznaczeni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iznes.gov.pl" TargetMode="External"/><Relationship Id="rId14" Type="http://schemas.openxmlformats.org/officeDocument/2006/relationships/hyperlink" Target="https://www.podatki.gov.pl/clo/zabezpieczenie-i-pobor-naleznosci-celnych-oraz-zwrot-i-umorzenia-naleznosci-celnych/"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85B0F-D173-450D-8B1A-E67610307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5483</Words>
  <Characters>32900</Characters>
  <Application>Microsoft Office Word</Application>
  <DocSecurity>0</DocSecurity>
  <Lines>274</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38307</CharactersWithSpaces>
  <SharedDoc>false</SharedDoc>
  <HLinks>
    <vt:vector size="48" baseType="variant">
      <vt:variant>
        <vt:i4>7864383</vt:i4>
      </vt:variant>
      <vt:variant>
        <vt:i4>21</vt:i4>
      </vt:variant>
      <vt:variant>
        <vt:i4>0</vt:i4>
      </vt:variant>
      <vt:variant>
        <vt:i4>5</vt:i4>
      </vt:variant>
      <vt:variant>
        <vt:lpwstr>http://www.finanse.mf.gov.pl/clo/unijny-kodeks-celny-wdrozenie/ukc</vt:lpwstr>
      </vt:variant>
      <vt:variant>
        <vt:lpwstr/>
      </vt:variant>
      <vt:variant>
        <vt:i4>8192049</vt:i4>
      </vt:variant>
      <vt:variant>
        <vt:i4>18</vt:i4>
      </vt:variant>
      <vt:variant>
        <vt:i4>0</vt:i4>
      </vt:variant>
      <vt:variant>
        <vt:i4>5</vt:i4>
      </vt:variant>
      <vt:variant>
        <vt:lpwstr>https://www.finanse.mf.gov.pl/clo/zgloszenia-celne-i-intrastat/zgloszenia-celne/instrukcje</vt:lpwstr>
      </vt:variant>
      <vt:variant>
        <vt:lpwstr/>
      </vt:variant>
      <vt:variant>
        <vt:i4>1245269</vt:i4>
      </vt:variant>
      <vt:variant>
        <vt:i4>15</vt:i4>
      </vt:variant>
      <vt:variant>
        <vt:i4>0</vt:i4>
      </vt:variant>
      <vt:variant>
        <vt:i4>5</vt:i4>
      </vt:variant>
      <vt:variant>
        <vt:lpwstr>http://www.puesc.gov.pl/</vt:lpwstr>
      </vt:variant>
      <vt:variant>
        <vt:lpwstr/>
      </vt:variant>
      <vt:variant>
        <vt:i4>2228329</vt:i4>
      </vt:variant>
      <vt:variant>
        <vt:i4>12</vt:i4>
      </vt:variant>
      <vt:variant>
        <vt:i4>0</vt:i4>
      </vt:variant>
      <vt:variant>
        <vt:i4>5</vt:i4>
      </vt:variant>
      <vt:variant>
        <vt:lpwstr>https://customs.ec.europa.eu/tpui-cdms-web/</vt:lpwstr>
      </vt:variant>
      <vt:variant>
        <vt:lpwstr/>
      </vt:variant>
      <vt:variant>
        <vt:i4>2228351</vt:i4>
      </vt:variant>
      <vt:variant>
        <vt:i4>9</vt:i4>
      </vt:variant>
      <vt:variant>
        <vt:i4>0</vt:i4>
      </vt:variant>
      <vt:variant>
        <vt:i4>5</vt:i4>
      </vt:variant>
      <vt:variant>
        <vt:lpwstr>https://www.biznes.gov.pl/opisy-procedur/-/proc/758-pozwolenie-na-koncowe-przeznaczenie</vt:lpwstr>
      </vt:variant>
      <vt:variant>
        <vt:lpwstr/>
      </vt:variant>
      <vt:variant>
        <vt:i4>5570629</vt:i4>
      </vt:variant>
      <vt:variant>
        <vt:i4>6</vt:i4>
      </vt:variant>
      <vt:variant>
        <vt:i4>0</vt:i4>
      </vt:variant>
      <vt:variant>
        <vt:i4>5</vt:i4>
      </vt:variant>
      <vt:variant>
        <vt:lpwstr>http://www.biznes.gov.pl/</vt:lpwstr>
      </vt:variant>
      <vt:variant>
        <vt:lpwstr/>
      </vt:variant>
      <vt:variant>
        <vt:i4>458768</vt:i4>
      </vt:variant>
      <vt:variant>
        <vt:i4>3</vt:i4>
      </vt:variant>
      <vt:variant>
        <vt:i4>0</vt:i4>
      </vt:variant>
      <vt:variant>
        <vt:i4>5</vt:i4>
      </vt:variant>
      <vt:variant>
        <vt:lpwstr>https://ec.europa.eu/taxation_customs/business/union-customs-code_en</vt:lpwstr>
      </vt:variant>
      <vt:variant>
        <vt:lpwstr/>
      </vt:variant>
      <vt:variant>
        <vt:i4>393327</vt:i4>
      </vt:variant>
      <vt:variant>
        <vt:i4>0</vt:i4>
      </vt:variant>
      <vt:variant>
        <vt:i4>0</vt:i4>
      </vt:variant>
      <vt:variant>
        <vt:i4>5</vt:i4>
      </vt:variant>
      <vt:variant>
        <vt:lpwstr>https://ec.europa.eu/taxation_customs/business/union-customs-code/ucc-guidance-documents_en</vt:lpwstr>
      </vt:variant>
      <vt:variant>
        <vt:lpwstr>special_procedures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2</cp:revision>
  <cp:lastPrinted>2025-09-23T06:59:00Z</cp:lastPrinted>
  <dcterms:created xsi:type="dcterms:W3CDTF">2025-09-23T07:12:00Z</dcterms:created>
  <dcterms:modified xsi:type="dcterms:W3CDTF">2025-09-23T07:12:00Z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InformacjePubliczneInformacjeSektoraPublicznego</vt:lpwstr>
  </property>
  <property fmtid="{D5CDD505-2E9C-101B-9397-08002B2CF9AE}" pid="3" name="MFClassifiedBy">
    <vt:lpwstr>UxC4dwLulzfINJ8nQH+xvX5LNGipWa4BRSZhPgxsCvnNiy4mCgjpTdWN2c+Qcve5wevo0OBvonX7EsneeBRyRw==</vt:lpwstr>
  </property>
  <property fmtid="{D5CDD505-2E9C-101B-9397-08002B2CF9AE}" pid="4" name="MFClassificationDate">
    <vt:lpwstr>2025-09-09T11:38:45.8559712+02:00</vt:lpwstr>
  </property>
  <property fmtid="{D5CDD505-2E9C-101B-9397-08002B2CF9AE}" pid="5" name="MFClassifiedBySID">
    <vt:lpwstr>UxC4dwLulzfINJ8nQH+xvX5LNGipWa4BRSZhPgxsCvm42mrIC/DSDv0ggS+FjUN/2v1BBotkLlY5aAiEhoi6uaeBL3gmdjimxnGuKbxUOK33NildMtkLI98GFF275IRl</vt:lpwstr>
  </property>
  <property fmtid="{D5CDD505-2E9C-101B-9397-08002B2CF9AE}" pid="6" name="MFGRNItemId">
    <vt:lpwstr>GRN-7fbd5db9-6891-4aa4-85cd-b8b3a3938df9</vt:lpwstr>
  </property>
  <property fmtid="{D5CDD505-2E9C-101B-9397-08002B2CF9AE}" pid="7" name="MFHash">
    <vt:lpwstr>cLeRmNVqtnk5Wc+VCu2SwaiUEAUTClJA2bsSNGmF6Yo=</vt:lpwstr>
  </property>
  <property fmtid="{D5CDD505-2E9C-101B-9397-08002B2CF9AE}" pid="8" name="MFVisualMarkingsSettings">
    <vt:lpwstr>HeaderAlignment=1;FooterAlignment=1</vt:lpwstr>
  </property>
  <property fmtid="{D5CDD505-2E9C-101B-9397-08002B2CF9AE}" pid="9" name="DLPManualFileClassification">
    <vt:lpwstr>{2755b7d9-e53d-4779-a40c-03797dcf43b3}</vt:lpwstr>
  </property>
  <property fmtid="{D5CDD505-2E9C-101B-9397-08002B2CF9AE}" pid="10" name="MFRefresh">
    <vt:lpwstr>False</vt:lpwstr>
  </property>
</Properties>
</file>