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9E" w:rsidRPr="00907991" w:rsidRDefault="001B149E" w:rsidP="001B149E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907991">
        <w:rPr>
          <w:rFonts w:ascii="Arial" w:eastAsia="Times New Roman" w:hAnsi="Arial" w:cs="Arial"/>
          <w:sz w:val="24"/>
          <w:szCs w:val="24"/>
          <w:lang w:eastAsia="pl-PL"/>
        </w:rPr>
        <w:t>Upoważniony przedsiębiorca (AEO)</w:t>
      </w:r>
    </w:p>
    <w:p w:rsidR="00107F4E" w:rsidRDefault="00107F4E" w:rsidP="001B149E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9CA5A6"/>
          <w:sz w:val="18"/>
          <w:szCs w:val="18"/>
          <w:lang w:eastAsia="pl-PL"/>
        </w:rPr>
      </w:pPr>
    </w:p>
    <w:p w:rsidR="001B149E" w:rsidRPr="001B149E" w:rsidRDefault="001B149E" w:rsidP="001B149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1B149E">
        <w:rPr>
          <w:rFonts w:ascii="Arial" w:eastAsia="Times New Roman" w:hAnsi="Arial" w:cs="Arial"/>
          <w:b/>
          <w:bCs/>
          <w:color w:val="464646"/>
          <w:sz w:val="18"/>
          <w:szCs w:val="18"/>
          <w:lang w:eastAsia="pl-PL"/>
        </w:rPr>
        <w:t>Podstawa prawna</w:t>
      </w:r>
    </w:p>
    <w:p w:rsidR="001B149E" w:rsidRPr="001B149E" w:rsidRDefault="00330351" w:rsidP="001B149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64646"/>
          <w:sz w:val="18"/>
          <w:szCs w:val="18"/>
          <w:lang w:eastAsia="pl-PL"/>
        </w:rPr>
        <w:t>Procedurę</w:t>
      </w:r>
      <w:r w:rsidR="001B149E" w:rsidRPr="001B149E">
        <w:rPr>
          <w:rFonts w:ascii="Arial" w:eastAsia="Times New Roman" w:hAnsi="Arial" w:cs="Arial"/>
          <w:color w:val="464646"/>
          <w:sz w:val="18"/>
          <w:szCs w:val="18"/>
          <w:lang w:eastAsia="pl-PL"/>
        </w:rPr>
        <w:t xml:space="preserve"> przyznawania statusu AEO, warunki i kryteria, jakie powinien spełniać przedsiębiorca ubiegający się o uzyskanie tego statusu, korzyści wynikające z posiadania pozwolenia AEO oraz obowiązki przedsiębiorcy i organów celnych regulują następujące przepisy:</w:t>
      </w:r>
    </w:p>
    <w:p w:rsidR="001B149E" w:rsidRPr="00907991" w:rsidRDefault="001B149E" w:rsidP="00907991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rozporządzenia Parlamentu Europejskiego i Rady (UE) nr 952/2013 z dnia 9 października 2013 r. ustanawiającego unijny kodeks celny (UKC) Dz. Urz. UE L 269 z 10.10.2013 r. tom 56 str. 1,</w:t>
      </w:r>
    </w:p>
    <w:p w:rsidR="001B149E" w:rsidRPr="00907991" w:rsidRDefault="001B149E" w:rsidP="00907991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rozporządzenie delegowane Komisji (UE) 2015/2446 z dnia 28.07.2015 r. uzupełniające rozporządzenie Parlamentu Europejskiego i Rady (UE) nr 952/2013 w odniesieniu do szczegółowych zasad określających niektóre przepisy unijnego kodeksu celnego (RD) Dz. Urz. UE L 343 z 29.12.2015 r. str. 1,</w:t>
      </w:r>
    </w:p>
    <w:p w:rsidR="001B149E" w:rsidRPr="00907991" w:rsidRDefault="001B149E" w:rsidP="00907991">
      <w:pPr>
        <w:pStyle w:val="Akapitzlist"/>
        <w:numPr>
          <w:ilvl w:val="1"/>
          <w:numId w:val="1"/>
        </w:numPr>
        <w:shd w:val="clear" w:color="auto" w:fill="FFFFFF"/>
        <w:spacing w:after="240" w:line="240" w:lineRule="auto"/>
        <w:ind w:left="709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rozporządzenie wykonawcze Komisji (UE) 2015/2447 z dnia 24.11.2015 r. ustanawiające szczegółowe zasady wykonania niektórych przepisów rozporządzenia Parlamentu Europejskiego i Rady (UE) nr 952/2013 ustanawiającego unijny kodeks celny (RW) Dz. Urz. UE</w:t>
      </w:r>
      <w:r w:rsidR="00330351"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 xml:space="preserve"> L 343 z 29.12.2015 r. str. 558.</w:t>
      </w: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 </w:t>
      </w:r>
    </w:p>
    <w:p w:rsidR="001B149E" w:rsidRPr="001B149E" w:rsidRDefault="001B149E" w:rsidP="001B149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1B149E">
        <w:rPr>
          <w:rFonts w:ascii="Arial" w:eastAsia="Times New Roman" w:hAnsi="Arial" w:cs="Arial"/>
          <w:b/>
          <w:bCs/>
          <w:color w:val="464646"/>
          <w:sz w:val="18"/>
          <w:szCs w:val="18"/>
          <w:lang w:eastAsia="pl-PL"/>
        </w:rPr>
        <w:t>Status AEO</w:t>
      </w:r>
    </w:p>
    <w:p w:rsidR="001B149E" w:rsidRPr="001B149E" w:rsidRDefault="001B149E" w:rsidP="001B149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1B149E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Zgodnie z art. 38 UKC przedsiębiorca mający siedzibę na obszarze celnym Unii i spełniający kryteria określone w art. 39 może złożyć wniosek o przyznanie statusu upoważnionego przedsiębiorcy.</w:t>
      </w:r>
    </w:p>
    <w:p w:rsidR="001B149E" w:rsidRPr="001B149E" w:rsidRDefault="001B149E" w:rsidP="001B149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1B149E">
        <w:rPr>
          <w:rFonts w:ascii="Arial" w:eastAsia="Times New Roman" w:hAnsi="Arial" w:cs="Arial"/>
          <w:b/>
          <w:bCs/>
          <w:color w:val="464646"/>
          <w:sz w:val="18"/>
          <w:szCs w:val="18"/>
          <w:lang w:eastAsia="pl-PL"/>
        </w:rPr>
        <w:t>Status upoważnionego przedsiębiorcy obejmuje następujące rodzaje pozwolenia:</w:t>
      </w:r>
    </w:p>
    <w:p w:rsidR="001B149E" w:rsidRPr="00907991" w:rsidRDefault="001B149E" w:rsidP="00907991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upoważniony przedsiębiorca w zakresie uproszczeń celnych, które umożliwia mu korzystanie z niektórych uproszczeń zgodnie z przepisami prawa celnego - </w:t>
      </w:r>
      <w:r w:rsidRPr="00907991">
        <w:rPr>
          <w:rFonts w:ascii="Arial" w:eastAsia="Times New Roman" w:hAnsi="Arial" w:cs="Arial"/>
          <w:b/>
          <w:bCs/>
          <w:color w:val="464646"/>
          <w:sz w:val="18"/>
          <w:szCs w:val="18"/>
          <w:lang w:eastAsia="pl-PL"/>
        </w:rPr>
        <w:t>AEOC</w:t>
      </w: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; lub</w:t>
      </w:r>
    </w:p>
    <w:p w:rsidR="001B149E" w:rsidRPr="00907991" w:rsidRDefault="001B149E" w:rsidP="00907991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upoważniony przedsiębiorca w zakresie bezpieczeństwa i ochrony, które uprawnia do korzystania z ułatwień dotyczących bezpieczeństwa i ochrony - </w:t>
      </w:r>
      <w:r w:rsidRPr="00907991">
        <w:rPr>
          <w:rFonts w:ascii="Arial" w:eastAsia="Times New Roman" w:hAnsi="Arial" w:cs="Arial"/>
          <w:b/>
          <w:bCs/>
          <w:color w:val="464646"/>
          <w:sz w:val="18"/>
          <w:szCs w:val="18"/>
          <w:lang w:eastAsia="pl-PL"/>
        </w:rPr>
        <w:t>AEOS</w:t>
      </w: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.</w:t>
      </w:r>
    </w:p>
    <w:p w:rsidR="001B149E" w:rsidRPr="001B149E" w:rsidRDefault="001B149E" w:rsidP="001B149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1B149E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Można jednocześnie posiadać oba rodzaje pozwolenia </w:t>
      </w:r>
      <w:r w:rsidRPr="001B149E">
        <w:rPr>
          <w:rFonts w:ascii="Arial" w:eastAsia="Times New Roman" w:hAnsi="Arial" w:cs="Arial"/>
          <w:b/>
          <w:bCs/>
          <w:color w:val="464646"/>
          <w:sz w:val="18"/>
          <w:szCs w:val="18"/>
          <w:lang w:eastAsia="pl-PL"/>
        </w:rPr>
        <w:t>AEOC/AEOS. </w:t>
      </w:r>
      <w:r w:rsidRPr="001B149E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Świadectwo połączone zachowuje dotychczasowy znacznik literowy </w:t>
      </w:r>
      <w:r w:rsidRPr="001B149E">
        <w:rPr>
          <w:rFonts w:ascii="Arial" w:eastAsia="Times New Roman" w:hAnsi="Arial" w:cs="Arial"/>
          <w:b/>
          <w:bCs/>
          <w:color w:val="464646"/>
          <w:sz w:val="18"/>
          <w:szCs w:val="18"/>
          <w:lang w:eastAsia="pl-PL"/>
        </w:rPr>
        <w:t>AEOF</w:t>
      </w:r>
      <w:r w:rsidRPr="001B149E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.</w:t>
      </w:r>
    </w:p>
    <w:p w:rsidR="001B149E" w:rsidRPr="001B149E" w:rsidRDefault="001B149E" w:rsidP="001B149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1B149E">
        <w:rPr>
          <w:rFonts w:ascii="Arial" w:eastAsia="Times New Roman" w:hAnsi="Arial" w:cs="Arial"/>
          <w:b/>
          <w:bCs/>
          <w:color w:val="464646"/>
          <w:sz w:val="18"/>
          <w:szCs w:val="18"/>
          <w:lang w:eastAsia="pl-PL"/>
        </w:rPr>
        <w:lastRenderedPageBreak/>
        <w:t>Warunki i kryteria</w:t>
      </w:r>
    </w:p>
    <w:p w:rsidR="001B149E" w:rsidRPr="001B149E" w:rsidRDefault="001B149E" w:rsidP="001B149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1B149E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Kryteria i warunki jakie powinna spełniać osoba ubiegająca się o uzyskanie statusu AEO określone zostały w art. 39 UKC i obejmują one:</w:t>
      </w:r>
    </w:p>
    <w:p w:rsidR="001B149E" w:rsidRPr="00907991" w:rsidRDefault="001B149E" w:rsidP="00907991">
      <w:pPr>
        <w:pStyle w:val="Akapitzlist"/>
        <w:numPr>
          <w:ilvl w:val="0"/>
          <w:numId w:val="4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07991">
        <w:rPr>
          <w:rFonts w:ascii="Arial" w:eastAsia="Times New Roman" w:hAnsi="Arial" w:cs="Arial"/>
          <w:b/>
          <w:bCs/>
          <w:color w:val="464646"/>
          <w:sz w:val="18"/>
          <w:szCs w:val="18"/>
          <w:lang w:eastAsia="pl-PL"/>
        </w:rPr>
        <w:t>przestrzeganie przepisów prawa</w:t>
      </w: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 - brak poważnego naruszenia lub powtarzających się naruszeń przepisów prawa celnego i przepisów podatkowych, w tym brak skazania za poważne przestępstwo karne związane z działalnością gospodarczą wnioskodawcy;</w:t>
      </w:r>
    </w:p>
    <w:p w:rsidR="001B149E" w:rsidRPr="00907991" w:rsidRDefault="001B149E" w:rsidP="00907991">
      <w:pPr>
        <w:pStyle w:val="Akapitzlist"/>
        <w:numPr>
          <w:ilvl w:val="0"/>
          <w:numId w:val="4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07991">
        <w:rPr>
          <w:rFonts w:ascii="Arial" w:eastAsia="Times New Roman" w:hAnsi="Arial" w:cs="Arial"/>
          <w:b/>
          <w:bCs/>
          <w:color w:val="464646"/>
          <w:sz w:val="18"/>
          <w:szCs w:val="18"/>
          <w:lang w:eastAsia="pl-PL"/>
        </w:rPr>
        <w:t>odpowiedni system zarządzania ewidencjami</w:t>
      </w: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 - wykazanie przez wnioskodawcę, iż posiada wysoki poziom kontroli swoich operacji i przepływu towarów zapewniony poprzez system zarządzania ewidencją handlową oraz – w stosownych przypadkach – transportową co umożliwia przeprowadzanie właściwych kontroli celnych;</w:t>
      </w:r>
    </w:p>
    <w:p w:rsidR="001B149E" w:rsidRPr="00907991" w:rsidRDefault="001B149E" w:rsidP="00907991">
      <w:pPr>
        <w:pStyle w:val="Akapitzlist"/>
        <w:numPr>
          <w:ilvl w:val="0"/>
          <w:numId w:val="4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07991">
        <w:rPr>
          <w:rFonts w:ascii="Arial" w:eastAsia="Times New Roman" w:hAnsi="Arial" w:cs="Arial"/>
          <w:b/>
          <w:bCs/>
          <w:color w:val="464646"/>
          <w:sz w:val="18"/>
          <w:szCs w:val="18"/>
          <w:lang w:eastAsia="pl-PL"/>
        </w:rPr>
        <w:t>wypłacalność finansową</w:t>
      </w: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 - wypłacalność, którą uznaje się za udowodnioną, gdy wnioskodawca ma dobrą sytuację finansową pozwalającą mu na wypełnianie zobowiązań, stosownie do rodzaju prowadzonej przez niego działalności gospodarczej;</w:t>
      </w:r>
    </w:p>
    <w:p w:rsidR="001B149E" w:rsidRPr="00907991" w:rsidRDefault="001B149E" w:rsidP="00907991">
      <w:pPr>
        <w:pStyle w:val="Akapitzlist"/>
        <w:numPr>
          <w:ilvl w:val="0"/>
          <w:numId w:val="4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07991">
        <w:rPr>
          <w:rFonts w:ascii="Arial" w:eastAsia="Times New Roman" w:hAnsi="Arial" w:cs="Arial"/>
          <w:b/>
          <w:bCs/>
          <w:color w:val="464646"/>
          <w:sz w:val="18"/>
          <w:szCs w:val="18"/>
          <w:lang w:eastAsia="pl-PL"/>
        </w:rPr>
        <w:t>standardy kompetencji lub kwalifikacji zawodowych</w:t>
      </w: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 - w odniesieniu do pozwolenia, o którym mowa w art. 38 ust. 2 lit. a) – </w:t>
      </w:r>
      <w:r w:rsidRPr="00907991">
        <w:rPr>
          <w:rFonts w:ascii="Arial" w:eastAsia="Times New Roman" w:hAnsi="Arial" w:cs="Arial"/>
          <w:b/>
          <w:bCs/>
          <w:color w:val="464646"/>
          <w:sz w:val="18"/>
          <w:szCs w:val="18"/>
          <w:lang w:eastAsia="pl-PL"/>
        </w:rPr>
        <w:t>dotyczy AEOC</w:t>
      </w: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 – spełnienie praktycznych standardów w zakresie kompetencji lub kwalifikacji zawodowych bezpośrednio związanych z prowadzoną działalnością; oraz</w:t>
      </w:r>
    </w:p>
    <w:p w:rsidR="001B149E" w:rsidRPr="00907991" w:rsidRDefault="001B149E" w:rsidP="00907991">
      <w:pPr>
        <w:pStyle w:val="Akapitzlist"/>
        <w:numPr>
          <w:ilvl w:val="0"/>
          <w:numId w:val="4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07991">
        <w:rPr>
          <w:rFonts w:ascii="Arial" w:eastAsia="Times New Roman" w:hAnsi="Arial" w:cs="Arial"/>
          <w:b/>
          <w:bCs/>
          <w:color w:val="464646"/>
          <w:sz w:val="18"/>
          <w:szCs w:val="18"/>
          <w:lang w:eastAsia="pl-PL"/>
        </w:rPr>
        <w:t>standardy bezpieczeństwa i ochrony</w:t>
      </w: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 - w odniesieniu do pozwolenia, o którym mowa w art. 38 ust. 2 lit. b) – </w:t>
      </w:r>
      <w:r w:rsidRPr="00907991">
        <w:rPr>
          <w:rFonts w:ascii="Arial" w:eastAsia="Times New Roman" w:hAnsi="Arial" w:cs="Arial"/>
          <w:b/>
          <w:bCs/>
          <w:color w:val="464646"/>
          <w:sz w:val="18"/>
          <w:szCs w:val="18"/>
          <w:lang w:eastAsia="pl-PL"/>
        </w:rPr>
        <w:t>dotyczy AEOS</w:t>
      </w: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 -  odpowiednie standardy bezpieczeństwa i ochrony, które uznaje się za spełnione, gdy wnioskodawca wykaże, że utrzymuje odpowiednie środki mające na celu zagwarantowanie bezpieczeństwa i ochrony międzynarodowego łańcucha dostaw, w tym w obszarze odnoszącym się do integralności fizycznej i kontroli dostępu, procesów logistycznych, procesów związanych z postępowaniem z określonymi rodzajami towarów, w obszarze odnoszącym się do personelu oraz w obszarze identyfikacji partnerów handlowych.</w:t>
      </w:r>
    </w:p>
    <w:p w:rsidR="001B149E" w:rsidRPr="001B149E" w:rsidRDefault="001B149E" w:rsidP="001B149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1B149E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Przedmiotowe kryteria zostały doprecyzowane w art. 24-28 RW.</w:t>
      </w:r>
    </w:p>
    <w:p w:rsidR="001B149E" w:rsidRPr="001B149E" w:rsidRDefault="001B149E" w:rsidP="001B149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1B149E">
        <w:rPr>
          <w:rFonts w:ascii="Arial" w:eastAsia="Times New Roman" w:hAnsi="Arial" w:cs="Arial"/>
          <w:b/>
          <w:bCs/>
          <w:color w:val="464646"/>
          <w:sz w:val="18"/>
          <w:szCs w:val="18"/>
          <w:lang w:eastAsia="pl-PL"/>
        </w:rPr>
        <w:t>Korzyści AEO</w:t>
      </w:r>
    </w:p>
    <w:p w:rsidR="001B149E" w:rsidRPr="001B149E" w:rsidRDefault="001B149E" w:rsidP="001B149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1B149E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Korzyści przysługujące upoważnionym przedsiębiorcom uzależnione są od rodzaju statusu AEO. Wynikają one bezpośrednio z przepisów prawa unijnego i obejmują:</w:t>
      </w:r>
    </w:p>
    <w:p w:rsidR="001B149E" w:rsidRPr="00907991" w:rsidRDefault="001B149E" w:rsidP="00907991">
      <w:pPr>
        <w:pStyle w:val="Akapitzlist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lastRenderedPageBreak/>
        <w:t>Mniejszą liczbę kontroli dokumentów i kontroli fizycznych</w:t>
      </w:r>
    </w:p>
    <w:p w:rsidR="001B149E" w:rsidRPr="00907991" w:rsidRDefault="001B149E" w:rsidP="00907991">
      <w:pPr>
        <w:pStyle w:val="Akapitzlist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Priorytetowe traktowanie przesyłki w przypadku wytypowania do kontroli – przeprowadzenie kontroli poza kolejnością</w:t>
      </w:r>
    </w:p>
    <w:p w:rsidR="001B149E" w:rsidRPr="00907991" w:rsidRDefault="001B149E" w:rsidP="00907991">
      <w:pPr>
        <w:pStyle w:val="Akapitzlist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Wybór miejsca przeprowadzenia kontroli </w:t>
      </w:r>
    </w:p>
    <w:p w:rsidR="001B149E" w:rsidRPr="00907991" w:rsidRDefault="001B149E" w:rsidP="00907991">
      <w:pPr>
        <w:pStyle w:val="Akapitzlist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Uprzednie powiadomienie o wybraniu przesyłki do kontroli</w:t>
      </w:r>
    </w:p>
    <w:p w:rsidR="001B149E" w:rsidRPr="00907991" w:rsidRDefault="001B149E" w:rsidP="00907991">
      <w:pPr>
        <w:pStyle w:val="Akapitzlist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Szybszy i łatwiejszy dostęp do uproszczeń celnych oraz wyłączność na stosowanie niektórych uproszczeń celnych</w:t>
      </w:r>
    </w:p>
    <w:p w:rsidR="001B149E" w:rsidRPr="00907991" w:rsidRDefault="001B149E" w:rsidP="00907991">
      <w:pPr>
        <w:pStyle w:val="Akapitzlist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Uznawanie statusu AEO w całej UE oraz z krajami partnerskimi, z którymi UE podpisała odpowiednią umowę,</w:t>
      </w:r>
    </w:p>
    <w:p w:rsidR="001B149E" w:rsidRPr="00907991" w:rsidRDefault="001B149E" w:rsidP="00907991">
      <w:pPr>
        <w:pStyle w:val="Akapitzlist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bookmarkStart w:id="0" w:name="_GoBack"/>
      <w:bookmarkEnd w:id="0"/>
      <w:r w:rsidRPr="00907991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Ułatwienia w procesie ubiegania się o status zarejestrowanego agenta, znanego nadawcy i uznanego nadawcy</w:t>
      </w:r>
    </w:p>
    <w:p w:rsidR="001B149E" w:rsidRPr="001B149E" w:rsidRDefault="001B149E" w:rsidP="001B149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1B149E">
        <w:rPr>
          <w:rFonts w:ascii="Arial" w:eastAsia="Times New Roman" w:hAnsi="Arial" w:cs="Arial"/>
          <w:color w:val="464646"/>
          <w:sz w:val="18"/>
          <w:szCs w:val="18"/>
          <w:lang w:eastAsia="pl-PL"/>
        </w:rPr>
        <w:t xml:space="preserve">Dodatkowo w Polsce </w:t>
      </w:r>
      <w:r w:rsidR="00C736BF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przyznano</w:t>
      </w:r>
      <w:r w:rsidRPr="001B149E">
        <w:rPr>
          <w:rFonts w:ascii="Arial" w:eastAsia="Times New Roman" w:hAnsi="Arial" w:cs="Arial"/>
          <w:color w:val="464646"/>
          <w:sz w:val="18"/>
          <w:szCs w:val="18"/>
          <w:lang w:eastAsia="pl-PL"/>
        </w:rPr>
        <w:t xml:space="preserve"> szereg dodatkowych uprawnień przedsiębiorcom posiadającym status AEO. Szczegółowo zostały one opisane w materiale dostępnym na stronie internetowej Ministerstwa Finansów.</w:t>
      </w:r>
    </w:p>
    <w:p w:rsidR="0090712D" w:rsidRDefault="0090712D"/>
    <w:sectPr w:rsidR="00907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2A52"/>
    <w:multiLevelType w:val="hybridMultilevel"/>
    <w:tmpl w:val="7D50E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C7037"/>
    <w:multiLevelType w:val="hybridMultilevel"/>
    <w:tmpl w:val="9E9E9B86"/>
    <w:lvl w:ilvl="0" w:tplc="43661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61E4B"/>
    <w:multiLevelType w:val="hybridMultilevel"/>
    <w:tmpl w:val="C64E31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02EDF"/>
    <w:multiLevelType w:val="hybridMultilevel"/>
    <w:tmpl w:val="4B9CFA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B181A"/>
    <w:multiLevelType w:val="hybridMultilevel"/>
    <w:tmpl w:val="906018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C2A2F"/>
    <w:multiLevelType w:val="hybridMultilevel"/>
    <w:tmpl w:val="922411D0"/>
    <w:lvl w:ilvl="0" w:tplc="43661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6612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9E"/>
    <w:rsid w:val="00107F4E"/>
    <w:rsid w:val="001B149E"/>
    <w:rsid w:val="00330351"/>
    <w:rsid w:val="0090712D"/>
    <w:rsid w:val="00907991"/>
    <w:rsid w:val="00C736BF"/>
    <w:rsid w:val="00D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3C3CD-E8C4-4D41-AAB0-985B25B0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7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6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2019-10-02T12:58:00Z</dcterms:created>
  <dcterms:modified xsi:type="dcterms:W3CDTF">2019-10-02T13:00:00Z</dcterms:modified>
</cp:coreProperties>
</file>