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A2E" w:rsidRDefault="00FB0398" w:rsidP="00FB0398">
      <w:pPr>
        <w:pStyle w:val="Nagwek1"/>
        <w:jc w:val="center"/>
        <w:rPr>
          <w:rFonts w:asciiTheme="minorHAnsi" w:hAnsiTheme="minorHAnsi" w:cstheme="minorHAnsi"/>
          <w:color w:val="auto"/>
        </w:rPr>
      </w:pPr>
      <w:r>
        <w:rPr>
          <w:rFonts w:asciiTheme="minorHAnsi" w:hAnsiTheme="minorHAnsi" w:cstheme="minorHAnsi"/>
          <w:color w:val="auto"/>
        </w:rPr>
        <w:t>Odpowiedzi na p</w:t>
      </w:r>
      <w:r w:rsidR="003751D0" w:rsidRPr="003751D0">
        <w:rPr>
          <w:rFonts w:asciiTheme="minorHAnsi" w:hAnsiTheme="minorHAnsi" w:cstheme="minorHAnsi"/>
          <w:color w:val="auto"/>
        </w:rPr>
        <w:t xml:space="preserve">ytania </w:t>
      </w:r>
      <w:r w:rsidR="003751D0">
        <w:rPr>
          <w:rFonts w:asciiTheme="minorHAnsi" w:hAnsiTheme="minorHAnsi" w:cstheme="minorHAnsi"/>
          <w:color w:val="auto"/>
        </w:rPr>
        <w:t>firm k</w:t>
      </w:r>
      <w:r w:rsidR="003751D0" w:rsidRPr="003751D0">
        <w:rPr>
          <w:rFonts w:asciiTheme="minorHAnsi" w:hAnsiTheme="minorHAnsi" w:cstheme="minorHAnsi"/>
          <w:color w:val="auto"/>
        </w:rPr>
        <w:t>urierskich</w:t>
      </w:r>
    </w:p>
    <w:p w:rsidR="00FB0398" w:rsidRPr="00FB0398" w:rsidRDefault="00FB0398" w:rsidP="00FB0398">
      <w:bookmarkStart w:id="0" w:name="_GoBack"/>
      <w:bookmarkEnd w:id="0"/>
    </w:p>
    <w:p w:rsidR="00270DE0" w:rsidRPr="003751D0" w:rsidRDefault="00FB0398" w:rsidP="00FB0398">
      <w:pPr>
        <w:rPr>
          <w:rFonts w:asciiTheme="minorHAnsi" w:hAnsiTheme="minorHAnsi" w:cstheme="minorHAnsi"/>
        </w:rPr>
      </w:pPr>
    </w:p>
    <w:p w:rsidR="00C153B6" w:rsidRPr="003751D0" w:rsidRDefault="00C153B6" w:rsidP="00FB0398">
      <w:pPr>
        <w:pStyle w:val="Akapitzlist"/>
        <w:numPr>
          <w:ilvl w:val="0"/>
          <w:numId w:val="3"/>
        </w:numPr>
        <w:shd w:val="clear" w:color="auto" w:fill="FFFFFF"/>
        <w:textAlignment w:val="baseline"/>
        <w:rPr>
          <w:rFonts w:asciiTheme="minorHAnsi" w:eastAsia="Times New Roman" w:hAnsiTheme="minorHAnsi" w:cstheme="minorHAnsi"/>
          <w:b/>
          <w:color w:val="252424"/>
          <w:bdr w:val="none" w:sz="0" w:space="0" w:color="auto" w:frame="1"/>
          <w:lang w:eastAsia="en-GB"/>
        </w:rPr>
      </w:pPr>
      <w:r w:rsidRPr="003751D0">
        <w:rPr>
          <w:rFonts w:asciiTheme="minorHAnsi" w:eastAsia="Times New Roman" w:hAnsiTheme="minorHAnsi" w:cstheme="minorHAnsi"/>
          <w:b/>
          <w:color w:val="252424"/>
          <w:bdr w:val="none" w:sz="0" w:space="0" w:color="auto" w:frame="1"/>
          <w:lang w:eastAsia="en-GB"/>
        </w:rPr>
        <w:t>Jeżeli dotychczas przedsiębiorca eksportuje towary do krajów trzecich poza UE i posiada nr EORI to czy ten numer będzie uznawany dla Wielkiej Brytanii?</w:t>
      </w:r>
    </w:p>
    <w:p w:rsidR="00C153B6" w:rsidRPr="003751D0" w:rsidRDefault="00C153B6" w:rsidP="00FB0398">
      <w:pPr>
        <w:shd w:val="clear" w:color="auto" w:fill="FFFFFF"/>
        <w:textAlignment w:val="baseline"/>
        <w:rPr>
          <w:rFonts w:asciiTheme="minorHAnsi" w:eastAsia="Times New Roman" w:hAnsiTheme="minorHAnsi" w:cstheme="minorHAnsi"/>
          <w:i/>
          <w:color w:val="252424"/>
          <w:bdr w:val="none" w:sz="0" w:space="0" w:color="auto" w:frame="1"/>
          <w:lang w:eastAsia="en-GB"/>
        </w:rPr>
      </w:pPr>
    </w:p>
    <w:p w:rsidR="00C153B6" w:rsidRPr="003751D0" w:rsidRDefault="00C153B6" w:rsidP="00FB0398">
      <w:pPr>
        <w:shd w:val="clear" w:color="auto" w:fill="FFFFFF"/>
        <w:textAlignment w:val="baseline"/>
        <w:rPr>
          <w:rFonts w:asciiTheme="minorHAnsi" w:eastAsia="Times New Roman" w:hAnsiTheme="minorHAnsi" w:cstheme="minorHAnsi"/>
          <w:color w:val="252424"/>
          <w:bdr w:val="none" w:sz="0" w:space="0" w:color="auto" w:frame="1"/>
          <w:lang w:eastAsia="en-GB"/>
        </w:rPr>
      </w:pPr>
      <w:r w:rsidRPr="003751D0">
        <w:rPr>
          <w:rFonts w:asciiTheme="minorHAnsi" w:eastAsia="Times New Roman" w:hAnsiTheme="minorHAnsi" w:cstheme="minorHAnsi"/>
          <w:color w:val="252424"/>
          <w:bdr w:val="none" w:sz="0" w:space="0" w:color="auto" w:frame="1"/>
          <w:lang w:eastAsia="en-GB"/>
        </w:rPr>
        <w:t>Nr EORI uzyskan</w:t>
      </w:r>
      <w:r w:rsidR="00D522C8" w:rsidRPr="003751D0">
        <w:rPr>
          <w:rFonts w:asciiTheme="minorHAnsi" w:eastAsia="Times New Roman" w:hAnsiTheme="minorHAnsi" w:cstheme="minorHAnsi"/>
          <w:color w:val="252424"/>
          <w:bdr w:val="none" w:sz="0" w:space="0" w:color="auto" w:frame="1"/>
          <w:lang w:eastAsia="en-GB"/>
        </w:rPr>
        <w:t>y w Polsce nie będzie ważny w Wielkiej Brytanii po 31.12.2020</w:t>
      </w:r>
      <w:r w:rsidR="003751D0">
        <w:rPr>
          <w:rFonts w:asciiTheme="minorHAnsi" w:eastAsia="Times New Roman" w:hAnsiTheme="minorHAnsi" w:cstheme="minorHAnsi"/>
          <w:color w:val="252424"/>
          <w:bdr w:val="none" w:sz="0" w:space="0" w:color="auto" w:frame="1"/>
          <w:lang w:eastAsia="en-GB"/>
        </w:rPr>
        <w:t xml:space="preserve"> r.</w:t>
      </w:r>
      <w:r w:rsidR="00D522C8" w:rsidRPr="003751D0">
        <w:rPr>
          <w:rFonts w:asciiTheme="minorHAnsi" w:eastAsia="Times New Roman" w:hAnsiTheme="minorHAnsi" w:cstheme="minorHAnsi"/>
          <w:color w:val="252424"/>
          <w:bdr w:val="none" w:sz="0" w:space="0" w:color="auto" w:frame="1"/>
          <w:lang w:eastAsia="en-GB"/>
        </w:rPr>
        <w:t xml:space="preserve"> Wielka Brytania wymaga zarejestrowania się w tym kraju</w:t>
      </w:r>
      <w:r w:rsidRPr="003751D0">
        <w:rPr>
          <w:rFonts w:asciiTheme="minorHAnsi" w:eastAsia="Times New Roman" w:hAnsiTheme="minorHAnsi" w:cstheme="minorHAnsi"/>
          <w:color w:val="252424"/>
          <w:bdr w:val="none" w:sz="0" w:space="0" w:color="auto" w:frame="1"/>
          <w:lang w:eastAsia="en-GB"/>
        </w:rPr>
        <w:t xml:space="preserve"> i uzyskania brytyjskiego n</w:t>
      </w:r>
      <w:r w:rsidR="003751D0">
        <w:rPr>
          <w:rFonts w:asciiTheme="minorHAnsi" w:eastAsia="Times New Roman" w:hAnsiTheme="minorHAnsi" w:cstheme="minorHAnsi"/>
          <w:color w:val="252424"/>
          <w:bdr w:val="none" w:sz="0" w:space="0" w:color="auto" w:frame="1"/>
          <w:lang w:eastAsia="en-GB"/>
        </w:rPr>
        <w:t>umeru</w:t>
      </w:r>
      <w:r w:rsidRPr="003751D0">
        <w:rPr>
          <w:rFonts w:asciiTheme="minorHAnsi" w:eastAsia="Times New Roman" w:hAnsiTheme="minorHAnsi" w:cstheme="minorHAnsi"/>
          <w:color w:val="252424"/>
          <w:bdr w:val="none" w:sz="0" w:space="0" w:color="auto" w:frame="1"/>
          <w:lang w:eastAsia="en-GB"/>
        </w:rPr>
        <w:t xml:space="preserve"> EORI. W przypadku, gdy przywóz państwa towarów do GB będzie realizowany przez firmę brytyjską posiadającą nr EORI GB, to nie potrzebują państwo brytyjskiego nr </w:t>
      </w:r>
      <w:r w:rsidRPr="003751D0">
        <w:rPr>
          <w:rFonts w:asciiTheme="minorHAnsi" w:eastAsia="Times New Roman" w:hAnsiTheme="minorHAnsi" w:cstheme="minorHAnsi"/>
          <w:color w:val="252424"/>
          <w:bdr w:val="none" w:sz="0" w:space="0" w:color="auto" w:frame="1"/>
          <w:lang w:eastAsia="en-GB"/>
        </w:rPr>
        <w:lastRenderedPageBreak/>
        <w:t>EORI. W przypadku eksportu do Irlandii Pn. nadal będą ważne nr EORI UE.</w:t>
      </w:r>
    </w:p>
    <w:p w:rsidR="0064492B" w:rsidRPr="003751D0" w:rsidRDefault="0064492B" w:rsidP="00FB0398">
      <w:pPr>
        <w:shd w:val="clear" w:color="auto" w:fill="FFFFFF"/>
        <w:textAlignment w:val="baseline"/>
        <w:rPr>
          <w:rFonts w:asciiTheme="minorHAnsi" w:eastAsia="Times New Roman" w:hAnsiTheme="minorHAnsi" w:cstheme="minorHAnsi"/>
          <w:color w:val="252424"/>
          <w:bdr w:val="none" w:sz="0" w:space="0" w:color="auto" w:frame="1"/>
          <w:lang w:eastAsia="en-GB"/>
        </w:rPr>
      </w:pPr>
    </w:p>
    <w:p w:rsidR="0064492B" w:rsidRPr="003751D0" w:rsidRDefault="0064492B" w:rsidP="00FB0398">
      <w:pPr>
        <w:pStyle w:val="Akapitzlist"/>
        <w:numPr>
          <w:ilvl w:val="0"/>
          <w:numId w:val="3"/>
        </w:numPr>
        <w:shd w:val="clear" w:color="auto" w:fill="FFFFFF"/>
        <w:textAlignment w:val="baseline"/>
        <w:rPr>
          <w:rFonts w:asciiTheme="minorHAnsi" w:eastAsia="Times New Roman" w:hAnsiTheme="minorHAnsi" w:cstheme="minorHAnsi"/>
          <w:color w:val="252424"/>
          <w:bdr w:val="none" w:sz="0" w:space="0" w:color="auto" w:frame="1"/>
          <w:lang w:eastAsia="en-GB"/>
        </w:rPr>
      </w:pPr>
      <w:r w:rsidRPr="003751D0">
        <w:rPr>
          <w:rFonts w:asciiTheme="minorHAnsi" w:eastAsia="Times New Roman" w:hAnsiTheme="minorHAnsi" w:cstheme="minorHAnsi"/>
          <w:color w:val="252424"/>
          <w:bdr w:val="none" w:sz="0" w:space="0" w:color="auto" w:frame="1"/>
          <w:lang w:eastAsia="en-GB"/>
        </w:rPr>
        <w:t xml:space="preserve"> </w:t>
      </w:r>
      <w:r w:rsidRPr="003751D0">
        <w:rPr>
          <w:rFonts w:asciiTheme="minorHAnsi" w:eastAsia="Times New Roman" w:hAnsiTheme="minorHAnsi" w:cstheme="minorHAnsi"/>
          <w:b/>
          <w:color w:val="252424"/>
          <w:bdr w:val="none" w:sz="0" w:space="0" w:color="auto" w:frame="1"/>
          <w:lang w:eastAsia="en-GB"/>
        </w:rPr>
        <w:t>Czy możliwe jest na dzień dzisiejszy uzyskanie pozwolenia na procedurę uszlachetniania biernego (pr</w:t>
      </w:r>
      <w:r w:rsidR="00D522C8" w:rsidRPr="003751D0">
        <w:rPr>
          <w:rFonts w:asciiTheme="minorHAnsi" w:eastAsia="Times New Roman" w:hAnsiTheme="minorHAnsi" w:cstheme="minorHAnsi"/>
          <w:b/>
          <w:color w:val="252424"/>
          <w:bdr w:val="none" w:sz="0" w:space="0" w:color="auto" w:frame="1"/>
          <w:lang w:eastAsia="en-GB"/>
        </w:rPr>
        <w:t>zetwarzanie towaru na terenie Wielkiej Brytanii</w:t>
      </w:r>
      <w:r w:rsidRPr="003751D0">
        <w:rPr>
          <w:rFonts w:asciiTheme="minorHAnsi" w:eastAsia="Times New Roman" w:hAnsiTheme="minorHAnsi" w:cstheme="minorHAnsi"/>
          <w:b/>
          <w:color w:val="252424"/>
          <w:bdr w:val="none" w:sz="0" w:space="0" w:color="auto" w:frame="1"/>
          <w:lang w:eastAsia="en-GB"/>
        </w:rPr>
        <w:t>) z terminem ważności od 1.01.2021</w:t>
      </w:r>
      <w:r w:rsidR="003751D0">
        <w:rPr>
          <w:rFonts w:asciiTheme="minorHAnsi" w:eastAsia="Times New Roman" w:hAnsiTheme="minorHAnsi" w:cstheme="minorHAnsi"/>
          <w:b/>
          <w:color w:val="252424"/>
          <w:bdr w:val="none" w:sz="0" w:space="0" w:color="auto" w:frame="1"/>
          <w:lang w:eastAsia="en-GB"/>
        </w:rPr>
        <w:t xml:space="preserve"> </w:t>
      </w:r>
      <w:r w:rsidRPr="003751D0">
        <w:rPr>
          <w:rFonts w:asciiTheme="minorHAnsi" w:eastAsia="Times New Roman" w:hAnsiTheme="minorHAnsi" w:cstheme="minorHAnsi"/>
          <w:b/>
          <w:color w:val="252424"/>
          <w:bdr w:val="none" w:sz="0" w:space="0" w:color="auto" w:frame="1"/>
          <w:lang w:eastAsia="en-GB"/>
        </w:rPr>
        <w:t>r.?</w:t>
      </w:r>
    </w:p>
    <w:p w:rsidR="0064492B" w:rsidRPr="003751D0" w:rsidRDefault="0064492B" w:rsidP="00FB0398">
      <w:pPr>
        <w:shd w:val="clear" w:color="auto" w:fill="FFFFFF"/>
        <w:textAlignment w:val="baseline"/>
        <w:rPr>
          <w:rFonts w:asciiTheme="minorHAnsi" w:eastAsia="Times New Roman" w:hAnsiTheme="minorHAnsi" w:cstheme="minorHAnsi"/>
          <w:i/>
          <w:color w:val="252424"/>
          <w:bdr w:val="none" w:sz="0" w:space="0" w:color="auto" w:frame="1"/>
          <w:lang w:eastAsia="en-GB"/>
        </w:rPr>
      </w:pPr>
    </w:p>
    <w:p w:rsidR="0064492B" w:rsidRPr="003751D0" w:rsidRDefault="0064492B" w:rsidP="00FB0398">
      <w:pPr>
        <w:shd w:val="clear" w:color="auto" w:fill="FFFFFF"/>
        <w:textAlignment w:val="baseline"/>
        <w:rPr>
          <w:rFonts w:asciiTheme="minorHAnsi" w:eastAsia="Times New Roman" w:hAnsiTheme="minorHAnsi" w:cstheme="minorHAnsi"/>
          <w:color w:val="252424"/>
          <w:bdr w:val="none" w:sz="0" w:space="0" w:color="auto" w:frame="1"/>
          <w:lang w:eastAsia="en-GB"/>
        </w:rPr>
      </w:pPr>
      <w:r w:rsidRPr="003751D0">
        <w:rPr>
          <w:rFonts w:asciiTheme="minorHAnsi" w:eastAsia="Times New Roman" w:hAnsiTheme="minorHAnsi" w:cstheme="minorHAnsi"/>
          <w:color w:val="252424"/>
          <w:bdr w:val="none" w:sz="0" w:space="0" w:color="auto" w:frame="1"/>
          <w:lang w:eastAsia="en-GB"/>
        </w:rPr>
        <w:t>Tak, jest to możliwe. Proszę wpisać we wniosku o uzyskanie pozwolenia datę 1.01.2021</w:t>
      </w:r>
      <w:r w:rsidR="003751D0">
        <w:rPr>
          <w:rFonts w:asciiTheme="minorHAnsi" w:eastAsia="Times New Roman" w:hAnsiTheme="minorHAnsi" w:cstheme="minorHAnsi"/>
          <w:color w:val="252424"/>
          <w:bdr w:val="none" w:sz="0" w:space="0" w:color="auto" w:frame="1"/>
          <w:lang w:eastAsia="en-GB"/>
        </w:rPr>
        <w:t xml:space="preserve"> </w:t>
      </w:r>
      <w:r w:rsidRPr="003751D0">
        <w:rPr>
          <w:rFonts w:asciiTheme="minorHAnsi" w:eastAsia="Times New Roman" w:hAnsiTheme="minorHAnsi" w:cstheme="minorHAnsi"/>
          <w:color w:val="252424"/>
          <w:bdr w:val="none" w:sz="0" w:space="0" w:color="auto" w:frame="1"/>
          <w:lang w:eastAsia="en-GB"/>
        </w:rPr>
        <w:t xml:space="preserve">r. </w:t>
      </w:r>
    </w:p>
    <w:p w:rsidR="00AB38DC" w:rsidRPr="003751D0" w:rsidRDefault="00AB38DC" w:rsidP="00FB0398">
      <w:pPr>
        <w:shd w:val="clear" w:color="auto" w:fill="FFFFFF"/>
        <w:textAlignment w:val="baseline"/>
        <w:rPr>
          <w:rFonts w:asciiTheme="minorHAnsi" w:eastAsia="Times New Roman" w:hAnsiTheme="minorHAnsi" w:cstheme="minorHAnsi"/>
          <w:color w:val="252424"/>
          <w:bdr w:val="none" w:sz="0" w:space="0" w:color="auto" w:frame="1"/>
          <w:lang w:eastAsia="en-GB"/>
        </w:rPr>
      </w:pPr>
    </w:p>
    <w:p w:rsidR="00AB38DC" w:rsidRPr="003751D0" w:rsidRDefault="00AB38DC" w:rsidP="00FB0398">
      <w:pPr>
        <w:pStyle w:val="Akapitzlist"/>
        <w:numPr>
          <w:ilvl w:val="0"/>
          <w:numId w:val="3"/>
        </w:numPr>
        <w:shd w:val="clear" w:color="auto" w:fill="FFFFFF"/>
        <w:textAlignment w:val="baseline"/>
        <w:rPr>
          <w:rFonts w:asciiTheme="minorHAnsi" w:eastAsia="Times New Roman" w:hAnsiTheme="minorHAnsi" w:cstheme="minorHAnsi"/>
          <w:b/>
          <w:color w:val="252424"/>
          <w:bdr w:val="none" w:sz="0" w:space="0" w:color="auto" w:frame="1"/>
          <w:lang w:eastAsia="en-GB"/>
        </w:rPr>
      </w:pPr>
      <w:r w:rsidRPr="003751D0">
        <w:rPr>
          <w:rFonts w:asciiTheme="minorHAnsi" w:eastAsia="Times New Roman" w:hAnsiTheme="minorHAnsi" w:cstheme="minorHAnsi"/>
          <w:b/>
          <w:color w:val="252424"/>
          <w:bdr w:val="none" w:sz="0" w:space="0" w:color="auto" w:frame="1"/>
          <w:lang w:eastAsia="en-GB"/>
        </w:rPr>
        <w:t>Czy firma zarejestrowana w Irlandii Północnej może prowadzić skład celny w Polsce i czy mając AEO może korzystać z tych dobrodziejstw w Polsce?</w:t>
      </w:r>
    </w:p>
    <w:p w:rsidR="00AB38DC" w:rsidRPr="003751D0" w:rsidRDefault="00AB38DC" w:rsidP="00FB0398">
      <w:pPr>
        <w:shd w:val="clear" w:color="auto" w:fill="FFFFFF"/>
        <w:textAlignment w:val="baseline"/>
        <w:rPr>
          <w:rFonts w:asciiTheme="minorHAnsi" w:eastAsia="Times New Roman" w:hAnsiTheme="minorHAnsi" w:cstheme="minorHAnsi"/>
          <w:color w:val="252424"/>
          <w:bdr w:val="none" w:sz="0" w:space="0" w:color="auto" w:frame="1"/>
          <w:lang w:eastAsia="en-GB"/>
        </w:rPr>
      </w:pPr>
    </w:p>
    <w:p w:rsidR="00D96D80" w:rsidRDefault="00AB38DC" w:rsidP="00FB0398">
      <w:pPr>
        <w:shd w:val="clear" w:color="auto" w:fill="FFFFFF"/>
        <w:textAlignment w:val="baseline"/>
        <w:rPr>
          <w:rFonts w:asciiTheme="minorHAnsi" w:eastAsia="Times New Roman" w:hAnsiTheme="minorHAnsi" w:cstheme="minorHAnsi"/>
          <w:color w:val="252424"/>
          <w:bdr w:val="none" w:sz="0" w:space="0" w:color="auto" w:frame="1"/>
          <w:lang w:eastAsia="en-GB"/>
        </w:rPr>
      </w:pPr>
      <w:r w:rsidRPr="003751D0">
        <w:rPr>
          <w:rFonts w:asciiTheme="minorHAnsi" w:eastAsia="Times New Roman" w:hAnsiTheme="minorHAnsi" w:cstheme="minorHAnsi"/>
          <w:color w:val="252424"/>
          <w:bdr w:val="none" w:sz="0" w:space="0" w:color="auto" w:frame="1"/>
          <w:lang w:eastAsia="en-GB"/>
        </w:rPr>
        <w:t>Tak. Pozwolenia nadające status upoważnionego przedsiębiorcy (AEO) i inne pozwolenia na korzystanie z uprosz</w:t>
      </w:r>
      <w:r w:rsidRPr="003751D0">
        <w:rPr>
          <w:rFonts w:asciiTheme="minorHAnsi" w:eastAsia="Times New Roman" w:hAnsiTheme="minorHAnsi" w:cstheme="minorHAnsi"/>
          <w:color w:val="252424"/>
          <w:bdr w:val="none" w:sz="0" w:space="0" w:color="auto" w:frame="1"/>
          <w:lang w:eastAsia="en-GB"/>
        </w:rPr>
        <w:lastRenderedPageBreak/>
        <w:t xml:space="preserve">czeń celnych udzielone przedsiębiorcom mającym siedzibę w Irlandii Północnej zachowują ważność na obszarze celnym Unii. Przy czym należy śledzić informacje, które przekazują w tym zakresie organy Zjednoczonego Królestwa. </w:t>
      </w:r>
    </w:p>
    <w:p w:rsidR="003751D0" w:rsidRPr="003751D0" w:rsidRDefault="003751D0" w:rsidP="00FB0398">
      <w:pPr>
        <w:shd w:val="clear" w:color="auto" w:fill="FFFFFF"/>
        <w:textAlignment w:val="baseline"/>
        <w:rPr>
          <w:rStyle w:val="Hipercze"/>
          <w:rFonts w:asciiTheme="minorHAnsi" w:eastAsia="Times New Roman" w:hAnsiTheme="minorHAnsi" w:cstheme="minorHAnsi"/>
          <w:bdr w:val="none" w:sz="0" w:space="0" w:color="auto" w:frame="1"/>
          <w:lang w:eastAsia="en-GB"/>
        </w:rPr>
      </w:pPr>
    </w:p>
    <w:p w:rsidR="00A10107" w:rsidRPr="003751D0" w:rsidRDefault="00A10107" w:rsidP="00FB0398">
      <w:pPr>
        <w:pStyle w:val="Akapitzlist"/>
        <w:numPr>
          <w:ilvl w:val="0"/>
          <w:numId w:val="3"/>
        </w:numPr>
        <w:shd w:val="clear" w:color="auto" w:fill="FFFFFF"/>
        <w:textAlignment w:val="baseline"/>
        <w:rPr>
          <w:rFonts w:asciiTheme="minorHAnsi" w:eastAsia="Times New Roman" w:hAnsiTheme="minorHAnsi" w:cstheme="minorHAnsi"/>
          <w:b/>
          <w:color w:val="252424"/>
          <w:bdr w:val="none" w:sz="0" w:space="0" w:color="auto" w:frame="1"/>
          <w:lang w:eastAsia="en-GB"/>
        </w:rPr>
      </w:pPr>
      <w:r w:rsidRPr="003751D0">
        <w:rPr>
          <w:rFonts w:asciiTheme="minorHAnsi" w:eastAsia="Times New Roman" w:hAnsiTheme="minorHAnsi" w:cstheme="minorHAnsi"/>
          <w:b/>
          <w:color w:val="252424"/>
          <w:bdr w:val="none" w:sz="0" w:space="0" w:color="auto" w:frame="1"/>
          <w:lang w:eastAsia="en-GB"/>
        </w:rPr>
        <w:t>Jakie świadectwa pochodzenia będą honorowane przez UK? jeżeli to będzie EUR1, to czy na towar, dostarczony w 2020 ale pobierany z magazynu konsygnacyjnego w 2021 będzie można wystawić EUR1 retrospektywnie?</w:t>
      </w:r>
    </w:p>
    <w:p w:rsidR="00A10107" w:rsidRPr="003751D0" w:rsidRDefault="00A10107" w:rsidP="00FB0398">
      <w:pPr>
        <w:shd w:val="clear" w:color="auto" w:fill="FFFFFF"/>
        <w:textAlignment w:val="baseline"/>
        <w:rPr>
          <w:rFonts w:asciiTheme="minorHAnsi" w:eastAsia="Times New Roman" w:hAnsiTheme="minorHAnsi" w:cstheme="minorHAnsi"/>
          <w:b/>
          <w:color w:val="252424"/>
          <w:bdr w:val="none" w:sz="0" w:space="0" w:color="auto" w:frame="1"/>
          <w:lang w:eastAsia="en-GB"/>
        </w:rPr>
      </w:pPr>
    </w:p>
    <w:p w:rsidR="00A10107" w:rsidRDefault="00A10107" w:rsidP="00FB0398">
      <w:pPr>
        <w:shd w:val="clear" w:color="auto" w:fill="FFFFFF"/>
        <w:textAlignment w:val="baseline"/>
        <w:rPr>
          <w:rFonts w:asciiTheme="minorHAnsi" w:eastAsia="Times New Roman" w:hAnsiTheme="minorHAnsi" w:cstheme="minorHAnsi"/>
          <w:color w:val="252424"/>
          <w:bdr w:val="none" w:sz="0" w:space="0" w:color="auto" w:frame="1"/>
          <w:lang w:eastAsia="en-GB"/>
        </w:rPr>
      </w:pPr>
      <w:r w:rsidRPr="003751D0">
        <w:rPr>
          <w:rFonts w:asciiTheme="minorHAnsi" w:eastAsia="Times New Roman" w:hAnsiTheme="minorHAnsi" w:cstheme="minorHAnsi"/>
          <w:color w:val="252424"/>
          <w:bdr w:val="none" w:sz="0" w:space="0" w:color="auto" w:frame="1"/>
          <w:lang w:eastAsia="en-GB"/>
        </w:rPr>
        <w:t>Ponieważ negocjacje w</w:t>
      </w:r>
      <w:r w:rsidR="003751D0">
        <w:rPr>
          <w:rFonts w:asciiTheme="minorHAnsi" w:eastAsia="Times New Roman" w:hAnsiTheme="minorHAnsi" w:cstheme="minorHAnsi"/>
          <w:color w:val="252424"/>
          <w:bdr w:val="none" w:sz="0" w:space="0" w:color="auto" w:frame="1"/>
          <w:lang w:eastAsia="en-GB"/>
        </w:rPr>
        <w:t xml:space="preserve"> </w:t>
      </w:r>
      <w:r w:rsidRPr="003751D0">
        <w:rPr>
          <w:rFonts w:asciiTheme="minorHAnsi" w:eastAsia="Times New Roman" w:hAnsiTheme="minorHAnsi" w:cstheme="minorHAnsi"/>
          <w:color w:val="252424"/>
          <w:bdr w:val="none" w:sz="0" w:space="0" w:color="auto" w:frame="1"/>
          <w:lang w:eastAsia="en-GB"/>
        </w:rPr>
        <w:t>s</w:t>
      </w:r>
      <w:r w:rsidR="003751D0">
        <w:rPr>
          <w:rFonts w:asciiTheme="minorHAnsi" w:eastAsia="Times New Roman" w:hAnsiTheme="minorHAnsi" w:cstheme="minorHAnsi"/>
          <w:color w:val="252424"/>
          <w:bdr w:val="none" w:sz="0" w:space="0" w:color="auto" w:frame="1"/>
          <w:lang w:eastAsia="en-GB"/>
        </w:rPr>
        <w:t>prawie</w:t>
      </w:r>
      <w:r w:rsidRPr="003751D0">
        <w:rPr>
          <w:rFonts w:asciiTheme="minorHAnsi" w:eastAsia="Times New Roman" w:hAnsiTheme="minorHAnsi" w:cstheme="minorHAnsi"/>
          <w:color w:val="252424"/>
          <w:bdr w:val="none" w:sz="0" w:space="0" w:color="auto" w:frame="1"/>
          <w:lang w:eastAsia="en-GB"/>
        </w:rPr>
        <w:t xml:space="preserve"> umowy handlowej między UE a UK jeszcze się nie zakończyły, to w chwili obecnej nie wiadomo jakie zasady dokumentowania pochodzenia towarów będą stosowane od 2021</w:t>
      </w:r>
      <w:r w:rsidR="003751D0">
        <w:rPr>
          <w:rFonts w:asciiTheme="minorHAnsi" w:eastAsia="Times New Roman" w:hAnsiTheme="minorHAnsi" w:cstheme="minorHAnsi"/>
          <w:color w:val="252424"/>
          <w:bdr w:val="none" w:sz="0" w:space="0" w:color="auto" w:frame="1"/>
          <w:lang w:eastAsia="en-GB"/>
        </w:rPr>
        <w:t xml:space="preserve"> </w:t>
      </w:r>
      <w:r w:rsidRPr="003751D0">
        <w:rPr>
          <w:rFonts w:asciiTheme="minorHAnsi" w:eastAsia="Times New Roman" w:hAnsiTheme="minorHAnsi" w:cstheme="minorHAnsi"/>
          <w:color w:val="252424"/>
          <w:bdr w:val="none" w:sz="0" w:space="0" w:color="auto" w:frame="1"/>
          <w:lang w:eastAsia="en-GB"/>
        </w:rPr>
        <w:t xml:space="preserve">r. Jeżeli nie dojdzie do zawarcia umowy handlowej, to prawdopodobnie żaden dowód pochodzenia towarów nie będzie </w:t>
      </w:r>
      <w:r w:rsidRPr="003751D0">
        <w:rPr>
          <w:rFonts w:asciiTheme="minorHAnsi" w:eastAsia="Times New Roman" w:hAnsiTheme="minorHAnsi" w:cstheme="minorHAnsi"/>
          <w:color w:val="252424"/>
          <w:bdr w:val="none" w:sz="0" w:space="0" w:color="auto" w:frame="1"/>
          <w:lang w:eastAsia="en-GB"/>
        </w:rPr>
        <w:lastRenderedPageBreak/>
        <w:t xml:space="preserve">wymagany, a rozstrzygnięcie w tej sprawie będzie zawarte w brytyjskim prawie celnym. Natomiast jeżeli umowa handlowa zostanie zawarta, to kwestia zasad dokumentowania pochodzenia towarów będzie w niej uregulowana. </w:t>
      </w:r>
    </w:p>
    <w:p w:rsidR="003751D0" w:rsidRDefault="003751D0" w:rsidP="00FB0398">
      <w:pPr>
        <w:shd w:val="clear" w:color="auto" w:fill="FFFFFF"/>
        <w:textAlignment w:val="baseline"/>
        <w:rPr>
          <w:rFonts w:asciiTheme="minorHAnsi" w:eastAsia="Times New Roman" w:hAnsiTheme="minorHAnsi" w:cstheme="minorHAnsi"/>
          <w:color w:val="252424"/>
          <w:bdr w:val="none" w:sz="0" w:space="0" w:color="auto" w:frame="1"/>
          <w:lang w:eastAsia="en-GB"/>
        </w:rPr>
      </w:pPr>
    </w:p>
    <w:p w:rsidR="002623F0" w:rsidRPr="00FB0398" w:rsidRDefault="002623F0" w:rsidP="00FB0398">
      <w:pPr>
        <w:pStyle w:val="Akapitzlist"/>
        <w:numPr>
          <w:ilvl w:val="0"/>
          <w:numId w:val="3"/>
        </w:numPr>
        <w:spacing w:line="264" w:lineRule="auto"/>
        <w:rPr>
          <w:rFonts w:asciiTheme="minorHAnsi" w:eastAsia="Calibri" w:hAnsiTheme="minorHAnsi" w:cstheme="minorHAnsi"/>
          <w:b/>
        </w:rPr>
      </w:pPr>
      <w:r w:rsidRPr="00FB0398">
        <w:rPr>
          <w:rFonts w:asciiTheme="minorHAnsi" w:eastAsia="Calibri" w:hAnsiTheme="minorHAnsi" w:cstheme="minorHAnsi"/>
          <w:b/>
          <w:u w:val="single"/>
        </w:rPr>
        <w:t>Ograniczenie kontroli fizycznych.</w:t>
      </w:r>
      <w:r w:rsidRPr="00FB0398">
        <w:rPr>
          <w:rFonts w:asciiTheme="minorHAnsi" w:eastAsia="Calibri" w:hAnsiTheme="minorHAnsi" w:cstheme="minorHAnsi"/>
          <w:b/>
        </w:rPr>
        <w:t xml:space="preserve"> Zmniejszenie liczby kontroli fizycznych na granicach ułatwiłoby wymianę towarową szczególnie w okresach potencjalnego ryzyka opóźnień. Korzystanie z analizy ryzyka i innych elektronicznych metod oceny ryzyka ma zatem zasadnicze znaczenia dla płynnego </w:t>
      </w:r>
      <w:r w:rsidRPr="00FB0398">
        <w:rPr>
          <w:rFonts w:asciiTheme="minorHAnsi" w:eastAsia="Calibri" w:hAnsiTheme="minorHAnsi" w:cstheme="minorHAnsi"/>
          <w:b/>
        </w:rPr>
        <w:lastRenderedPageBreak/>
        <w:t>przejścia przez zmiany i zapobiega</w:t>
      </w:r>
      <w:r w:rsidR="003751D0" w:rsidRPr="00FB0398">
        <w:rPr>
          <w:rFonts w:asciiTheme="minorHAnsi" w:eastAsia="Calibri" w:hAnsiTheme="minorHAnsi" w:cstheme="minorHAnsi"/>
          <w:b/>
        </w:rPr>
        <w:t>nia opóźnieniom w dostawie towaru.</w:t>
      </w:r>
    </w:p>
    <w:p w:rsidR="003751D0" w:rsidRDefault="003751D0" w:rsidP="00FB0398">
      <w:pPr>
        <w:spacing w:line="264" w:lineRule="auto"/>
        <w:rPr>
          <w:rFonts w:asciiTheme="minorHAnsi" w:eastAsia="Calibri" w:hAnsiTheme="minorHAnsi" w:cstheme="minorHAnsi"/>
        </w:rPr>
      </w:pP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Kontrole fizyczne w przypadku kontroli zgłoszeń w p</w:t>
      </w:r>
      <w:r w:rsidR="00295740" w:rsidRPr="003751D0">
        <w:rPr>
          <w:rFonts w:asciiTheme="minorHAnsi" w:eastAsia="Calibri" w:hAnsiTheme="minorHAnsi" w:cstheme="minorHAnsi"/>
        </w:rPr>
        <w:t>rocedurze uproszczonej (przedsiębiorca jako posiadacz AEO powinien</w:t>
      </w:r>
      <w:r w:rsidRPr="003751D0">
        <w:rPr>
          <w:rFonts w:asciiTheme="minorHAnsi" w:eastAsia="Calibri" w:hAnsiTheme="minorHAnsi" w:cstheme="minorHAnsi"/>
        </w:rPr>
        <w:t xml:space="preserve"> wykorzystywać możliwość dokonywania zgłoszeń w formie uproszczonej) w większości wynikają ze wskazań automatycznej analizy ryzyka. W praktyce kontrole fizyczne stanowią uzupełnienie kontroli dokumentowych, czyli kontrola fizyczna jest poprzedzona oceną dokumentów i najczęściej jest wynikiem kontroli dokumentowej. </w:t>
      </w: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Nie jest planowane wskazywanie Urzędom Celno-Skarbowym na zasadność zmniejszenia liczby kontroli fizycznych przesyłek kurierskich.</w:t>
      </w: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lastRenderedPageBreak/>
        <w:t>Ponieważ, jak wskazano, kontrola fizyczna w większości przypadków stanowi jedynie uzupełnienie kontroli dokumentowej, decyzja o konieczności jej przeprowadzenia jest zasadniczo uwarunkowana wynikiem automatycznej analizy ryzyka oraz oceną organu celnego odnośnie niezbędności przeprowadzenia takiej kontroli. Korzystanie z analizy ryzyka i innych elektronicznych metod oceny ryzyka ma zatem zasadnicze znaczenie dla płynnego przejścia przez z</w:t>
      </w:r>
      <w:r w:rsidR="00295740" w:rsidRPr="003751D0">
        <w:rPr>
          <w:rFonts w:asciiTheme="minorHAnsi" w:eastAsia="Calibri" w:hAnsiTheme="minorHAnsi" w:cstheme="minorHAnsi"/>
        </w:rPr>
        <w:t>miany sygnalizowane przez przedsiębiorcę</w:t>
      </w:r>
      <w:r w:rsidRPr="003751D0">
        <w:rPr>
          <w:rFonts w:asciiTheme="minorHAnsi" w:eastAsia="Calibri" w:hAnsiTheme="minorHAnsi" w:cstheme="minorHAnsi"/>
        </w:rPr>
        <w:t xml:space="preserve"> oraz zapobieżeniu ewentualnym opóźnieniom w dostawie towaru, które mogłyby wynikać z kierowania przesyłek do kontroli fizycznych.</w:t>
      </w:r>
    </w:p>
    <w:p w:rsidR="002623F0" w:rsidRPr="003751D0" w:rsidRDefault="002623F0" w:rsidP="00FB0398">
      <w:pPr>
        <w:spacing w:line="264" w:lineRule="auto"/>
        <w:ind w:left="720"/>
        <w:contextualSpacing/>
        <w:rPr>
          <w:rFonts w:asciiTheme="minorHAnsi" w:eastAsia="Calibri" w:hAnsiTheme="minorHAnsi" w:cstheme="minorHAnsi"/>
        </w:rPr>
      </w:pPr>
    </w:p>
    <w:p w:rsidR="002623F0" w:rsidRPr="00FB0398" w:rsidRDefault="002623F0" w:rsidP="00FB0398">
      <w:pPr>
        <w:pStyle w:val="Akapitzlist"/>
        <w:numPr>
          <w:ilvl w:val="0"/>
          <w:numId w:val="3"/>
        </w:numPr>
        <w:spacing w:line="264" w:lineRule="auto"/>
        <w:rPr>
          <w:rFonts w:asciiTheme="minorHAnsi" w:eastAsia="Calibri" w:hAnsiTheme="minorHAnsi" w:cstheme="minorHAnsi"/>
          <w:b/>
        </w:rPr>
      </w:pPr>
      <w:r w:rsidRPr="00FB0398">
        <w:rPr>
          <w:rFonts w:asciiTheme="minorHAnsi" w:eastAsia="Calibri" w:hAnsiTheme="minorHAnsi" w:cstheme="minorHAnsi"/>
          <w:b/>
          <w:u w:val="single"/>
        </w:rPr>
        <w:t>Ograniczenie kontroli dokumentacji.</w:t>
      </w:r>
      <w:r w:rsidRPr="003751D0">
        <w:rPr>
          <w:rFonts w:asciiTheme="minorHAnsi" w:eastAsia="Calibri" w:hAnsiTheme="minorHAnsi" w:cstheme="minorHAnsi"/>
        </w:rPr>
        <w:t xml:space="preserve"> </w:t>
      </w:r>
      <w:r w:rsidRPr="00FB0398">
        <w:rPr>
          <w:rFonts w:asciiTheme="minorHAnsi" w:eastAsia="Calibri" w:hAnsiTheme="minorHAnsi" w:cstheme="minorHAnsi"/>
          <w:b/>
        </w:rPr>
        <w:t>W podobny jw. sposób ułatwiłoby wymianę towarową w okresie potencj</w:t>
      </w:r>
      <w:r w:rsidR="00295740" w:rsidRPr="00FB0398">
        <w:rPr>
          <w:rFonts w:asciiTheme="minorHAnsi" w:eastAsia="Calibri" w:hAnsiTheme="minorHAnsi" w:cstheme="minorHAnsi"/>
          <w:b/>
        </w:rPr>
        <w:t xml:space="preserve">alnego ryzyka </w:t>
      </w:r>
      <w:r w:rsidR="00295740" w:rsidRPr="00FB0398">
        <w:rPr>
          <w:rFonts w:asciiTheme="minorHAnsi" w:eastAsia="Calibri" w:hAnsiTheme="minorHAnsi" w:cstheme="minorHAnsi"/>
          <w:b/>
        </w:rPr>
        <w:lastRenderedPageBreak/>
        <w:t>opóźnień. Przedsiębiorca posiadający</w:t>
      </w:r>
      <w:r w:rsidRPr="00FB0398">
        <w:rPr>
          <w:rFonts w:asciiTheme="minorHAnsi" w:eastAsia="Calibri" w:hAnsiTheme="minorHAnsi" w:cstheme="minorHAnsi"/>
          <w:b/>
        </w:rPr>
        <w:t xml:space="preserve"> pozwolenie AEO ma na</w:t>
      </w:r>
      <w:r w:rsidR="00295740" w:rsidRPr="00FB0398">
        <w:rPr>
          <w:rFonts w:asciiTheme="minorHAnsi" w:eastAsia="Calibri" w:hAnsiTheme="minorHAnsi" w:cstheme="minorHAnsi"/>
          <w:b/>
        </w:rPr>
        <w:t>dzieję, że w okresie zwiększonej</w:t>
      </w:r>
      <w:r w:rsidRPr="00FB0398">
        <w:rPr>
          <w:rFonts w:asciiTheme="minorHAnsi" w:eastAsia="Calibri" w:hAnsiTheme="minorHAnsi" w:cstheme="minorHAnsi"/>
          <w:b/>
        </w:rPr>
        <w:t xml:space="preserve"> ilości towaru takie ułatwienie w postaci zmniejszenia ilości fizycznej kontroli dokumentów jest możliwe. Podobnie pomocna będzie optymalizacja elektronicznych środków wymiany danych. Fizyczna obsługa dokumentacji zwiększa zapotrzebowanie na dodatkową ilość funkcjonariuszy oraz wydłuża czas odprawy i jako taka powinna być ograniczona do minimum.</w:t>
      </w:r>
    </w:p>
    <w:p w:rsidR="002623F0" w:rsidRPr="003751D0" w:rsidRDefault="002623F0" w:rsidP="00FB0398">
      <w:pPr>
        <w:spacing w:line="264" w:lineRule="auto"/>
        <w:ind w:left="720"/>
        <w:contextualSpacing/>
        <w:rPr>
          <w:rFonts w:asciiTheme="minorHAnsi" w:eastAsia="Calibri" w:hAnsiTheme="minorHAnsi" w:cstheme="minorHAnsi"/>
        </w:rPr>
      </w:pP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 xml:space="preserve">Przedsiębiorcy AEO korzystają z uprawnienia mniejszej ilości kontroli dokumentów. Walidacja posiadania statusu AEO jest zaimplementowana w systemach operacyjnych. Ostatecznie o odstąpieniu od kontroli dokumentów decyduje funkcjonariusz SCS obsługujący zgłoszenie celne. Jak wcześniej wskazano, </w:t>
      </w:r>
      <w:r w:rsidRPr="003751D0">
        <w:rPr>
          <w:rFonts w:asciiTheme="minorHAnsi" w:eastAsia="Calibri" w:hAnsiTheme="minorHAnsi" w:cstheme="minorHAnsi"/>
        </w:rPr>
        <w:lastRenderedPageBreak/>
        <w:t>należy założ</w:t>
      </w:r>
      <w:r w:rsidR="00295740" w:rsidRPr="003751D0">
        <w:rPr>
          <w:rFonts w:asciiTheme="minorHAnsi" w:eastAsia="Calibri" w:hAnsiTheme="minorHAnsi" w:cstheme="minorHAnsi"/>
        </w:rPr>
        <w:t>yć, że większość zgłoszeń przedsiębiorcy powinno być dokonywane</w:t>
      </w:r>
      <w:r w:rsidRPr="003751D0">
        <w:rPr>
          <w:rFonts w:asciiTheme="minorHAnsi" w:eastAsia="Calibri" w:hAnsiTheme="minorHAnsi" w:cstheme="minorHAnsi"/>
        </w:rPr>
        <w:t xml:space="preserve"> w procedurze uproszczonej, natomiast większość kontroli dotyczących uproszczonych zgłoszeń celnych wynika z automatycznej analizy ryzyka (na co wskazują ogólnokrajowe dane statystyczne przekazywane do KE). W zależności od oceny wskazań do kontroli, wynikających z automatycznej analizy ryzyka, możliwe są też przypadki odstąpienia od kontroli dokumentów, uzasadnienie odstąpienia od kontroli (np. bezwynikowość poprzednich kontroli w tym samym zakresie). </w:t>
      </w:r>
    </w:p>
    <w:p w:rsidR="002623F0" w:rsidRPr="003751D0" w:rsidRDefault="002623F0" w:rsidP="00FB0398">
      <w:pPr>
        <w:spacing w:line="264" w:lineRule="auto"/>
        <w:ind w:left="720"/>
        <w:contextualSpacing/>
        <w:rPr>
          <w:rFonts w:asciiTheme="minorHAnsi" w:eastAsia="Calibri" w:hAnsiTheme="minorHAnsi" w:cstheme="minorHAnsi"/>
        </w:rPr>
      </w:pPr>
    </w:p>
    <w:p w:rsidR="002623F0" w:rsidRPr="00FB0398" w:rsidRDefault="002623F0" w:rsidP="00FB0398">
      <w:pPr>
        <w:pStyle w:val="Akapitzlist"/>
        <w:numPr>
          <w:ilvl w:val="0"/>
          <w:numId w:val="3"/>
        </w:numPr>
        <w:spacing w:line="264" w:lineRule="auto"/>
        <w:rPr>
          <w:rFonts w:asciiTheme="minorHAnsi" w:eastAsia="Calibri" w:hAnsiTheme="minorHAnsi" w:cstheme="minorHAnsi"/>
          <w:b/>
        </w:rPr>
      </w:pPr>
      <w:r w:rsidRPr="00FB0398">
        <w:rPr>
          <w:rFonts w:asciiTheme="minorHAnsi" w:eastAsia="Calibri" w:hAnsiTheme="minorHAnsi" w:cstheme="minorHAnsi"/>
          <w:b/>
          <w:u w:val="single"/>
        </w:rPr>
        <w:t>Odprawa celna przesyłek niekompletnych.</w:t>
      </w:r>
      <w:r w:rsidRPr="003751D0">
        <w:rPr>
          <w:rFonts w:asciiTheme="minorHAnsi" w:eastAsia="Calibri" w:hAnsiTheme="minorHAnsi" w:cstheme="minorHAnsi"/>
        </w:rPr>
        <w:t xml:space="preserve"> </w:t>
      </w:r>
      <w:r w:rsidRPr="00FB0398">
        <w:rPr>
          <w:rFonts w:asciiTheme="minorHAnsi" w:eastAsia="Calibri" w:hAnsiTheme="minorHAnsi" w:cstheme="minorHAnsi"/>
          <w:b/>
        </w:rPr>
        <w:t xml:space="preserve">Podobnie jak w przypadku środków awaryjnych stosowanych przez organy celne w niektórych krajach UE podczas COVID 19 możliwość odprawy przesyłek niekompletnych zapobiega powstawaniu </w:t>
      </w:r>
      <w:r w:rsidRPr="00FB0398">
        <w:rPr>
          <w:rFonts w:asciiTheme="minorHAnsi" w:eastAsia="Calibri" w:hAnsiTheme="minorHAnsi" w:cstheme="minorHAnsi"/>
          <w:b/>
        </w:rPr>
        <w:lastRenderedPageBreak/>
        <w:t>potencjalnych opóźnień. Odprawa całego towaru zaraz po przybyciu pierwszej przesyłki przyśpieszy procedurę odprawy celnej i zwolni powierzchni</w:t>
      </w:r>
      <w:r w:rsidR="00295740" w:rsidRPr="00FB0398">
        <w:rPr>
          <w:rFonts w:asciiTheme="minorHAnsi" w:eastAsia="Calibri" w:hAnsiTheme="minorHAnsi" w:cstheme="minorHAnsi"/>
          <w:b/>
        </w:rPr>
        <w:t>e magazynowe. Wprawdzie przedsiębiorca podjął</w:t>
      </w:r>
      <w:r w:rsidRPr="00FB0398">
        <w:rPr>
          <w:rFonts w:asciiTheme="minorHAnsi" w:eastAsia="Calibri" w:hAnsiTheme="minorHAnsi" w:cstheme="minorHAnsi"/>
          <w:b/>
        </w:rPr>
        <w:t xml:space="preserve"> odpowiednie środki, uwzględniające zwiększoną ilość przesyłek w MCS, ale wszelkie ułatwienia celne, zmniejszające potrzeby ich wykorzystania byłyby mile widziane.</w:t>
      </w:r>
    </w:p>
    <w:p w:rsidR="002623F0" w:rsidRPr="003751D0" w:rsidRDefault="002623F0" w:rsidP="00FB0398">
      <w:pPr>
        <w:spacing w:line="264" w:lineRule="auto"/>
        <w:ind w:left="720"/>
        <w:contextualSpacing/>
        <w:rPr>
          <w:rFonts w:asciiTheme="minorHAnsi" w:eastAsia="Calibri" w:hAnsiTheme="minorHAnsi" w:cstheme="minorHAnsi"/>
        </w:rPr>
      </w:pPr>
    </w:p>
    <w:p w:rsidR="002623F0" w:rsidRPr="003751D0" w:rsidRDefault="002623F0" w:rsidP="00FB0398">
      <w:pPr>
        <w:spacing w:line="264" w:lineRule="auto"/>
        <w:rPr>
          <w:rFonts w:asciiTheme="minorHAnsi" w:eastAsia="Calibri" w:hAnsiTheme="minorHAnsi" w:cstheme="minorHAnsi"/>
        </w:rPr>
      </w:pPr>
      <w:r w:rsidRPr="003751D0">
        <w:rPr>
          <w:rFonts w:asciiTheme="minorHAnsi" w:eastAsia="Calibri" w:hAnsiTheme="minorHAnsi" w:cstheme="minorHAnsi"/>
        </w:rPr>
        <w:t>Zgodnie z obowiązującymi unijnymi przepisami, w przypadku zgłoszenia standardowego, istnieje możliwość złożenia zgłoszenia celnego typu A – zgłoszenie i jednoczesne przedstawienie towaru albo typu D – zgłoszenie przed przedstawieniem towaru, ale ob</w:t>
      </w:r>
      <w:r w:rsidR="00295740" w:rsidRPr="003751D0">
        <w:rPr>
          <w:rFonts w:asciiTheme="minorHAnsi" w:eastAsia="Calibri" w:hAnsiTheme="minorHAnsi" w:cstheme="minorHAnsi"/>
        </w:rPr>
        <w:t>sługa tego zgłoszenia dokonana zostanie</w:t>
      </w:r>
      <w:r w:rsidRPr="003751D0">
        <w:rPr>
          <w:rFonts w:asciiTheme="minorHAnsi" w:eastAsia="Calibri" w:hAnsiTheme="minorHAnsi" w:cstheme="minorHAnsi"/>
        </w:rPr>
        <w:t xml:space="preserve"> dopiero po złożeniu powiadomienia o przedstawieniu towaru. A zatem </w:t>
      </w:r>
      <w:r w:rsidRPr="003751D0">
        <w:rPr>
          <w:rFonts w:asciiTheme="minorHAnsi" w:eastAsia="Calibri" w:hAnsiTheme="minorHAnsi" w:cstheme="minorHAnsi"/>
        </w:rPr>
        <w:lastRenderedPageBreak/>
        <w:t>obsługa zgłoszenia skutkująca zwolnieniem towaru do wnioskowanej procedury związana jest z przedstawieniem towaru, czyli wskazaniem miejsca, w którym towar jest dostępny do kontroli.</w:t>
      </w: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W związku z COVID19 regulacje unijne we wskazanym wyżej zakresie nie uległy zmianie. Nie są nam znane zarówno rozwiązania opisane w pytaniu, jak i przepisy prawa na podstawie których takie rozwiązania zostały wprowadzone w niektórych państwach UE.</w:t>
      </w:r>
    </w:p>
    <w:p w:rsidR="002623F0" w:rsidRPr="003751D0" w:rsidRDefault="002623F0" w:rsidP="00FB0398">
      <w:pPr>
        <w:spacing w:line="264" w:lineRule="auto"/>
        <w:rPr>
          <w:rFonts w:asciiTheme="minorHAnsi" w:eastAsia="Calibri" w:hAnsiTheme="minorHAnsi" w:cstheme="minorHAnsi"/>
        </w:rPr>
      </w:pPr>
    </w:p>
    <w:p w:rsidR="002623F0" w:rsidRPr="003751D0" w:rsidRDefault="002623F0" w:rsidP="00FB0398">
      <w:pPr>
        <w:pStyle w:val="Akapitzlist"/>
        <w:numPr>
          <w:ilvl w:val="0"/>
          <w:numId w:val="3"/>
        </w:numPr>
        <w:spacing w:line="264" w:lineRule="auto"/>
        <w:rPr>
          <w:rFonts w:asciiTheme="minorHAnsi" w:eastAsia="Calibri" w:hAnsiTheme="minorHAnsi" w:cstheme="minorHAnsi"/>
        </w:rPr>
      </w:pPr>
      <w:r w:rsidRPr="00FB0398">
        <w:rPr>
          <w:rFonts w:asciiTheme="minorHAnsi" w:eastAsia="Calibri" w:hAnsiTheme="minorHAnsi" w:cstheme="minorHAnsi"/>
          <w:b/>
          <w:u w:val="single"/>
        </w:rPr>
        <w:t>Upoważnienia.</w:t>
      </w:r>
      <w:r w:rsidR="00295740" w:rsidRPr="003751D0">
        <w:rPr>
          <w:rFonts w:asciiTheme="minorHAnsi" w:eastAsia="Calibri" w:hAnsiTheme="minorHAnsi" w:cstheme="minorHAnsi"/>
        </w:rPr>
        <w:t xml:space="preserve"> </w:t>
      </w:r>
      <w:r w:rsidR="00295740" w:rsidRPr="00FB0398">
        <w:rPr>
          <w:rFonts w:asciiTheme="minorHAnsi" w:eastAsia="Calibri" w:hAnsiTheme="minorHAnsi" w:cstheme="minorHAnsi"/>
          <w:b/>
        </w:rPr>
        <w:t>Przedsiębiorca</w:t>
      </w:r>
      <w:r w:rsidRPr="00FB0398">
        <w:rPr>
          <w:rFonts w:asciiTheme="minorHAnsi" w:eastAsia="Calibri" w:hAnsiTheme="minorHAnsi" w:cstheme="minorHAnsi"/>
          <w:b/>
        </w:rPr>
        <w:t xml:space="preserve"> zwraca się z prośbą o czasowe odstąpienie od wymogu posiadania upoważnienia od importera w chwili odprawy celnej. Uzyskanie pełnomocnictwa, szczególnie w przypadku przesyłek B2C jest często czasochłonne i znacząco wpływa na opóźnienie czasu odprawy. Możliwość </w:t>
      </w:r>
      <w:r w:rsidRPr="00FB0398">
        <w:rPr>
          <w:rFonts w:asciiTheme="minorHAnsi" w:eastAsia="Calibri" w:hAnsiTheme="minorHAnsi" w:cstheme="minorHAnsi"/>
          <w:b/>
        </w:rPr>
        <w:lastRenderedPageBreak/>
        <w:t>zabezpieczenia oraz przedstawienia upoważnienia w późniejszym terminie przyśpieszyłoby odprawę towaru w tym newralgicznym czasie zakończenia okresu przejściowego.</w:t>
      </w:r>
    </w:p>
    <w:p w:rsidR="002623F0" w:rsidRPr="003751D0" w:rsidRDefault="002623F0" w:rsidP="00FB0398">
      <w:pPr>
        <w:spacing w:line="264" w:lineRule="auto"/>
        <w:ind w:left="720"/>
        <w:contextualSpacing/>
        <w:rPr>
          <w:rFonts w:asciiTheme="minorHAnsi" w:eastAsia="Calibri" w:hAnsiTheme="minorHAnsi" w:cstheme="minorHAnsi"/>
        </w:rPr>
      </w:pPr>
    </w:p>
    <w:p w:rsidR="002623F0" w:rsidRPr="003751D0" w:rsidRDefault="002623F0" w:rsidP="00FB0398">
      <w:pPr>
        <w:spacing w:line="264" w:lineRule="auto"/>
        <w:rPr>
          <w:rFonts w:asciiTheme="minorHAnsi" w:eastAsia="Calibri" w:hAnsiTheme="minorHAnsi" w:cstheme="minorHAnsi"/>
        </w:rPr>
      </w:pPr>
      <w:r w:rsidRPr="003751D0">
        <w:rPr>
          <w:rFonts w:asciiTheme="minorHAnsi" w:eastAsia="Calibri" w:hAnsiTheme="minorHAnsi" w:cstheme="minorHAnsi"/>
        </w:rPr>
        <w:t>Obowiązek posiadania upoważnienia przez przedstawiciela celnego podczas kontaktu z organami celnymi wynika wprost z unijnego kodeksu celnego (art. 18 i 19), nie można zatem czasowo odstąpić od tego wymogu.</w:t>
      </w:r>
    </w:p>
    <w:p w:rsidR="002623F0" w:rsidRPr="003751D0" w:rsidRDefault="002623F0" w:rsidP="00FB0398">
      <w:pPr>
        <w:spacing w:line="264" w:lineRule="auto"/>
        <w:ind w:left="720"/>
        <w:rPr>
          <w:rFonts w:asciiTheme="minorHAnsi" w:eastAsia="Calibri" w:hAnsiTheme="minorHAnsi" w:cstheme="minorHAnsi"/>
        </w:rPr>
      </w:pPr>
    </w:p>
    <w:p w:rsidR="002623F0" w:rsidRPr="003751D0" w:rsidRDefault="002623F0" w:rsidP="00FB0398">
      <w:pPr>
        <w:pStyle w:val="Akapitzlist"/>
        <w:numPr>
          <w:ilvl w:val="0"/>
          <w:numId w:val="3"/>
        </w:numPr>
        <w:spacing w:line="264" w:lineRule="auto"/>
        <w:rPr>
          <w:rFonts w:asciiTheme="minorHAnsi" w:eastAsia="Calibri" w:hAnsiTheme="minorHAnsi" w:cstheme="minorHAnsi"/>
          <w:b/>
        </w:rPr>
      </w:pPr>
      <w:r w:rsidRPr="003751D0">
        <w:rPr>
          <w:rFonts w:asciiTheme="minorHAnsi" w:eastAsia="Calibri" w:hAnsiTheme="minorHAnsi" w:cstheme="minorHAnsi"/>
          <w:b/>
        </w:rPr>
        <w:t>EORI.</w:t>
      </w:r>
      <w:r w:rsidR="00212C41" w:rsidRPr="003751D0">
        <w:rPr>
          <w:rFonts w:asciiTheme="minorHAnsi" w:eastAsia="Calibri" w:hAnsiTheme="minorHAnsi" w:cstheme="minorHAnsi"/>
        </w:rPr>
        <w:t xml:space="preserve"> </w:t>
      </w:r>
      <w:r w:rsidR="00C10779" w:rsidRPr="003751D0">
        <w:rPr>
          <w:rFonts w:asciiTheme="minorHAnsi" w:eastAsia="Calibri" w:hAnsiTheme="minorHAnsi" w:cstheme="minorHAnsi"/>
          <w:b/>
        </w:rPr>
        <w:t>Czy istnieje możliwość skorzystania z numeru EORI innego przedsiębiorcy? Jakie są zasady zgłaszania towarów o wartości do 150 EUR przez firmy kurierskie?</w:t>
      </w:r>
    </w:p>
    <w:p w:rsidR="002623F0" w:rsidRPr="003751D0" w:rsidRDefault="002623F0" w:rsidP="00FB0398">
      <w:pPr>
        <w:spacing w:line="264" w:lineRule="auto"/>
        <w:ind w:left="720"/>
        <w:contextualSpacing/>
        <w:rPr>
          <w:rFonts w:asciiTheme="minorHAnsi" w:eastAsia="Calibri" w:hAnsiTheme="minorHAnsi" w:cstheme="minorHAnsi"/>
          <w:b/>
        </w:rPr>
      </w:pP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lastRenderedPageBreak/>
        <w:t xml:space="preserve">Numer EORI to numer identyfikujący przedsiębiorcę przed organami celnymi. Nie ma możliwości korzystania z numeru EORI innego przedsiębiorcy. Klienci </w:t>
      </w:r>
      <w:r w:rsidR="00F94722" w:rsidRPr="003751D0">
        <w:rPr>
          <w:rFonts w:asciiTheme="minorHAnsi" w:eastAsia="Calibri" w:hAnsiTheme="minorHAnsi" w:cstheme="minorHAnsi"/>
        </w:rPr>
        <w:t>przedsiębiorcy</w:t>
      </w:r>
      <w:r w:rsidRPr="003751D0">
        <w:rPr>
          <w:rFonts w:asciiTheme="minorHAnsi" w:eastAsia="Calibri" w:hAnsiTheme="minorHAnsi" w:cstheme="minorHAnsi"/>
        </w:rPr>
        <w:t xml:space="preserve">, którzy po zakończeniu okresu </w:t>
      </w:r>
      <w:r w:rsidR="00F94722" w:rsidRPr="003751D0">
        <w:rPr>
          <w:rFonts w:asciiTheme="minorHAnsi" w:eastAsia="Calibri" w:hAnsiTheme="minorHAnsi" w:cstheme="minorHAnsi"/>
        </w:rPr>
        <w:t>przejściowego w związku z brexitem</w:t>
      </w:r>
      <w:r w:rsidRPr="003751D0">
        <w:rPr>
          <w:rFonts w:asciiTheme="minorHAnsi" w:eastAsia="Calibri" w:hAnsiTheme="minorHAnsi" w:cstheme="minorHAnsi"/>
        </w:rPr>
        <w:t xml:space="preserve"> będą zobowiązani posługiwać się numerem EORI, muszą wystąpić o jego nadanie. Szczegóły dotyczące uzyskania numeru EORI dostępne są na </w:t>
      </w:r>
      <w:hyperlink r:id="rId8" w:history="1">
        <w:r w:rsidRPr="003751D0">
          <w:rPr>
            <w:rStyle w:val="Hipercze"/>
            <w:rFonts w:asciiTheme="minorHAnsi" w:eastAsia="Calibri" w:hAnsiTheme="minorHAnsi" w:cstheme="minorHAnsi"/>
          </w:rPr>
          <w:t xml:space="preserve">stronie </w:t>
        </w:r>
        <w:r w:rsidR="003751D0" w:rsidRPr="003751D0">
          <w:rPr>
            <w:rStyle w:val="Hipercze"/>
            <w:rFonts w:asciiTheme="minorHAnsi" w:eastAsia="Calibri" w:hAnsiTheme="minorHAnsi" w:cstheme="minorHAnsi"/>
          </w:rPr>
          <w:t>PUESC</w:t>
        </w:r>
      </w:hyperlink>
      <w:r w:rsidR="003751D0">
        <w:rPr>
          <w:rFonts w:asciiTheme="minorHAnsi" w:eastAsia="Calibri" w:hAnsiTheme="minorHAnsi" w:cstheme="minorHAnsi"/>
        </w:rPr>
        <w:t xml:space="preserve">. </w:t>
      </w: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Wnioski o nadani</w:t>
      </w:r>
      <w:r w:rsidR="00F94722" w:rsidRPr="003751D0">
        <w:rPr>
          <w:rFonts w:asciiTheme="minorHAnsi" w:eastAsia="Calibri" w:hAnsiTheme="minorHAnsi" w:cstheme="minorHAnsi"/>
        </w:rPr>
        <w:t>e numeru EORI w związku z brexitem</w:t>
      </w:r>
      <w:r w:rsidRPr="003751D0">
        <w:rPr>
          <w:rFonts w:asciiTheme="minorHAnsi" w:eastAsia="Calibri" w:hAnsiTheme="minorHAnsi" w:cstheme="minorHAnsi"/>
        </w:rPr>
        <w:t xml:space="preserve"> można składać już od kilku miesięcy. Obecnie czas oczekiwania na nadanie numeru EORI to jeden dzień roboczy, jeśli wniosek jest prawidłowy i kompletny.</w:t>
      </w:r>
    </w:p>
    <w:p w:rsidR="002623F0" w:rsidRPr="003751D0" w:rsidRDefault="003751D0" w:rsidP="00FB0398">
      <w:pPr>
        <w:spacing w:line="264" w:lineRule="auto"/>
        <w:contextualSpacing/>
        <w:rPr>
          <w:rFonts w:asciiTheme="minorHAnsi" w:eastAsia="Calibri" w:hAnsiTheme="minorHAnsi" w:cstheme="minorHAnsi"/>
        </w:rPr>
      </w:pPr>
      <w:r>
        <w:rPr>
          <w:rFonts w:asciiTheme="minorHAnsi" w:eastAsia="Calibri" w:hAnsiTheme="minorHAnsi" w:cstheme="minorHAnsi"/>
        </w:rPr>
        <w:t>Z</w:t>
      </w:r>
      <w:r w:rsidR="002623F0" w:rsidRPr="003751D0">
        <w:rPr>
          <w:rFonts w:asciiTheme="minorHAnsi" w:eastAsia="Calibri" w:hAnsiTheme="minorHAnsi" w:cstheme="minorHAnsi"/>
        </w:rPr>
        <w:t xml:space="preserve">asady zgłaszania przesyłek o małej wartości opisane w przypadku 6.1 </w:t>
      </w:r>
      <w:r w:rsidR="002623F0" w:rsidRPr="003751D0">
        <w:rPr>
          <w:rFonts w:asciiTheme="minorHAnsi" w:eastAsia="Calibri" w:hAnsiTheme="minorHAnsi" w:cstheme="minorHAnsi"/>
          <w:i/>
        </w:rPr>
        <w:t xml:space="preserve">Instrukcji </w:t>
      </w:r>
      <w:r w:rsidR="002623F0" w:rsidRPr="003751D0">
        <w:rPr>
          <w:rFonts w:asciiTheme="minorHAnsi" w:eastAsia="Calibri" w:hAnsiTheme="minorHAnsi" w:cstheme="minorHAnsi"/>
          <w:i/>
        </w:rPr>
        <w:lastRenderedPageBreak/>
        <w:t>wypełniania zgłoszeń celnych</w:t>
      </w:r>
      <w:r w:rsidR="002623F0" w:rsidRPr="003751D0">
        <w:rPr>
          <w:rFonts w:asciiTheme="minorHAnsi" w:eastAsia="Calibri" w:hAnsiTheme="minorHAnsi" w:cstheme="minorHAnsi"/>
        </w:rPr>
        <w:t>, przewidujące możliwość podawania EORI operatora kurierskiego, pozostają bez zmian do dnia 1 lipca 2021 r.</w:t>
      </w:r>
    </w:p>
    <w:p w:rsidR="002623F0" w:rsidRPr="003751D0" w:rsidRDefault="002623F0" w:rsidP="00FB0398">
      <w:pPr>
        <w:spacing w:line="264" w:lineRule="auto"/>
        <w:ind w:left="720"/>
        <w:contextualSpacing/>
        <w:rPr>
          <w:rFonts w:asciiTheme="minorHAnsi" w:eastAsia="Calibri" w:hAnsiTheme="minorHAnsi" w:cstheme="minorHAnsi"/>
        </w:rPr>
      </w:pPr>
    </w:p>
    <w:p w:rsidR="002623F0" w:rsidRPr="00FB0398" w:rsidRDefault="002623F0" w:rsidP="00FB0398">
      <w:pPr>
        <w:pStyle w:val="Akapitzlist"/>
        <w:numPr>
          <w:ilvl w:val="0"/>
          <w:numId w:val="3"/>
        </w:numPr>
        <w:spacing w:line="264" w:lineRule="auto"/>
        <w:rPr>
          <w:rFonts w:asciiTheme="minorHAnsi" w:eastAsia="Calibri" w:hAnsiTheme="minorHAnsi" w:cstheme="minorHAnsi"/>
          <w:b/>
        </w:rPr>
      </w:pPr>
      <w:r w:rsidRPr="00FB0398">
        <w:rPr>
          <w:rFonts w:asciiTheme="minorHAnsi" w:eastAsia="Calibri" w:hAnsiTheme="minorHAnsi" w:cstheme="minorHAnsi"/>
          <w:b/>
        </w:rPr>
        <w:t>Godzina „zero”.</w:t>
      </w:r>
      <w:r w:rsidRPr="00FB0398">
        <w:rPr>
          <w:rFonts w:asciiTheme="minorHAnsi" w:eastAsia="Calibri" w:hAnsiTheme="minorHAnsi" w:cstheme="minorHAnsi"/>
        </w:rPr>
        <w:t xml:space="preserve"> </w:t>
      </w:r>
      <w:r w:rsidRPr="00FB0398">
        <w:rPr>
          <w:rFonts w:asciiTheme="minorHAnsi" w:eastAsia="Calibri" w:hAnsiTheme="minorHAnsi" w:cstheme="minorHAnsi"/>
          <w:b/>
        </w:rPr>
        <w:t>Koniec okresu przejściowego i wkroczenie w nowy etap relacji między UE a Zjednoczonym Królestwem wymaga jasnych wytycznych w szczególności do towarów wysłanych przed zakończeniem okresu przejściowego, a przybywających po jego zakończeniu.</w:t>
      </w:r>
    </w:p>
    <w:p w:rsidR="002623F0" w:rsidRPr="00FB0398" w:rsidRDefault="00DE4A03" w:rsidP="00FB0398">
      <w:pPr>
        <w:spacing w:line="264" w:lineRule="auto"/>
        <w:ind w:left="720"/>
        <w:contextualSpacing/>
        <w:rPr>
          <w:rFonts w:asciiTheme="minorHAnsi" w:eastAsia="Calibri" w:hAnsiTheme="minorHAnsi" w:cstheme="minorHAnsi"/>
          <w:b/>
        </w:rPr>
      </w:pPr>
      <w:r w:rsidRPr="00FB0398">
        <w:rPr>
          <w:rFonts w:asciiTheme="minorHAnsi" w:eastAsia="Calibri" w:hAnsiTheme="minorHAnsi" w:cstheme="minorHAnsi"/>
          <w:b/>
        </w:rPr>
        <w:t xml:space="preserve">Artykuł </w:t>
      </w:r>
      <w:r w:rsidR="002623F0" w:rsidRPr="00FB0398">
        <w:rPr>
          <w:rFonts w:asciiTheme="minorHAnsi" w:eastAsia="Calibri" w:hAnsiTheme="minorHAnsi" w:cstheme="minorHAnsi"/>
          <w:b/>
        </w:rPr>
        <w:t>47 Umowy o wystąpieniu określa, że takie towary zachowują swój status unijny. Wytyczne odnośnie przepisów celnych opublikowane przez KE w dniu 14 lipca 2020</w:t>
      </w:r>
      <w:r w:rsidRPr="00FB0398">
        <w:rPr>
          <w:rFonts w:asciiTheme="minorHAnsi" w:eastAsia="Calibri" w:hAnsiTheme="minorHAnsi" w:cstheme="minorHAnsi"/>
          <w:b/>
        </w:rPr>
        <w:t xml:space="preserve"> r.</w:t>
      </w:r>
      <w:r w:rsidR="002623F0" w:rsidRPr="00FB0398">
        <w:rPr>
          <w:rFonts w:asciiTheme="minorHAnsi" w:eastAsia="Calibri" w:hAnsiTheme="minorHAnsi" w:cstheme="minorHAnsi"/>
          <w:b/>
        </w:rPr>
        <w:t xml:space="preserve"> stanowią, że dokumentacja transportowa (taka jak lotniczy list przewozowy) wystarczyłaby, jako dowód wysłania przesyłki. Konieczne jest, zatem potwierdzenie czy taki dowód zostałby </w:t>
      </w:r>
      <w:r w:rsidR="002623F0" w:rsidRPr="00FB0398">
        <w:rPr>
          <w:rFonts w:asciiTheme="minorHAnsi" w:eastAsia="Calibri" w:hAnsiTheme="minorHAnsi" w:cstheme="minorHAnsi"/>
          <w:b/>
        </w:rPr>
        <w:lastRenderedPageBreak/>
        <w:t>przyjęty w celu zapewnienia unijnego statusu towarów wysłanych przed zakończeniem okresu przejściowego, ale przybywających j</w:t>
      </w:r>
      <w:r w:rsidRPr="00FB0398">
        <w:rPr>
          <w:rFonts w:asciiTheme="minorHAnsi" w:eastAsia="Calibri" w:hAnsiTheme="minorHAnsi" w:cstheme="minorHAnsi"/>
          <w:b/>
        </w:rPr>
        <w:t>uż po jego zakończeniu. Przedsiębiorca</w:t>
      </w:r>
      <w:r w:rsidR="002623F0" w:rsidRPr="00FB0398">
        <w:rPr>
          <w:rFonts w:asciiTheme="minorHAnsi" w:eastAsia="Calibri" w:hAnsiTheme="minorHAnsi" w:cstheme="minorHAnsi"/>
          <w:b/>
        </w:rPr>
        <w:t xml:space="preserve"> zwraca się z prośbą o sprecyzowanie terminu „rozpoczęcia przemieszczania” w odniesieniu do art. 47 umowy rozwodowej. Jaka operacja będzie rozpoczęciem przemieszczania:</w:t>
      </w:r>
    </w:p>
    <w:p w:rsidR="002623F0" w:rsidRPr="00FB0398" w:rsidRDefault="002623F0" w:rsidP="00FB0398">
      <w:pPr>
        <w:numPr>
          <w:ilvl w:val="1"/>
          <w:numId w:val="2"/>
        </w:numPr>
        <w:spacing w:after="200" w:line="264" w:lineRule="auto"/>
        <w:ind w:left="1134"/>
        <w:contextualSpacing/>
        <w:rPr>
          <w:rFonts w:asciiTheme="minorHAnsi" w:eastAsia="Calibri" w:hAnsiTheme="minorHAnsi" w:cstheme="minorHAnsi"/>
          <w:b/>
        </w:rPr>
      </w:pPr>
      <w:r w:rsidRPr="00FB0398">
        <w:rPr>
          <w:rFonts w:asciiTheme="minorHAnsi" w:eastAsia="Calibri" w:hAnsiTheme="minorHAnsi" w:cstheme="minorHAnsi"/>
          <w:b/>
        </w:rPr>
        <w:t>Wystawienie listu przewozowego np. w dniu 31.12.2020</w:t>
      </w:r>
      <w:r w:rsidR="00DE4A03" w:rsidRPr="00FB0398">
        <w:rPr>
          <w:rFonts w:asciiTheme="minorHAnsi" w:eastAsia="Calibri" w:hAnsiTheme="minorHAnsi" w:cstheme="minorHAnsi"/>
          <w:b/>
        </w:rPr>
        <w:t xml:space="preserve"> r.</w:t>
      </w:r>
      <w:r w:rsidRPr="00FB0398">
        <w:rPr>
          <w:rFonts w:asciiTheme="minorHAnsi" w:eastAsia="Calibri" w:hAnsiTheme="minorHAnsi" w:cstheme="minorHAnsi"/>
          <w:b/>
        </w:rPr>
        <w:t>;</w:t>
      </w:r>
    </w:p>
    <w:p w:rsidR="002623F0" w:rsidRPr="00FB0398" w:rsidRDefault="002623F0" w:rsidP="00FB0398">
      <w:pPr>
        <w:numPr>
          <w:ilvl w:val="1"/>
          <w:numId w:val="2"/>
        </w:numPr>
        <w:spacing w:after="200" w:line="264" w:lineRule="auto"/>
        <w:ind w:left="1134"/>
        <w:contextualSpacing/>
        <w:rPr>
          <w:rFonts w:asciiTheme="minorHAnsi" w:eastAsia="Calibri" w:hAnsiTheme="minorHAnsi" w:cstheme="minorHAnsi"/>
          <w:b/>
        </w:rPr>
      </w:pPr>
      <w:r w:rsidRPr="00FB0398">
        <w:rPr>
          <w:rFonts w:asciiTheme="minorHAnsi" w:eastAsia="Calibri" w:hAnsiTheme="minorHAnsi" w:cstheme="minorHAnsi"/>
          <w:b/>
        </w:rPr>
        <w:t>Odbiór przesyłki od klienta w dniu 31.12.2020</w:t>
      </w:r>
      <w:r w:rsidR="00DE4A03" w:rsidRPr="00FB0398">
        <w:rPr>
          <w:rFonts w:asciiTheme="minorHAnsi" w:eastAsia="Calibri" w:hAnsiTheme="minorHAnsi" w:cstheme="minorHAnsi"/>
          <w:b/>
        </w:rPr>
        <w:t xml:space="preserve"> r.</w:t>
      </w:r>
      <w:r w:rsidRPr="00FB0398">
        <w:rPr>
          <w:rFonts w:asciiTheme="minorHAnsi" w:eastAsia="Calibri" w:hAnsiTheme="minorHAnsi" w:cstheme="minorHAnsi"/>
          <w:b/>
        </w:rPr>
        <w:t>;</w:t>
      </w:r>
    </w:p>
    <w:p w:rsidR="002623F0" w:rsidRPr="00FB0398" w:rsidRDefault="002623F0" w:rsidP="00FB0398">
      <w:pPr>
        <w:numPr>
          <w:ilvl w:val="1"/>
          <w:numId w:val="2"/>
        </w:numPr>
        <w:spacing w:after="200" w:line="264" w:lineRule="auto"/>
        <w:ind w:left="1134"/>
        <w:contextualSpacing/>
        <w:rPr>
          <w:rFonts w:asciiTheme="minorHAnsi" w:eastAsia="Calibri" w:hAnsiTheme="minorHAnsi" w:cstheme="minorHAnsi"/>
          <w:b/>
        </w:rPr>
      </w:pPr>
      <w:r w:rsidRPr="00FB0398">
        <w:rPr>
          <w:rFonts w:asciiTheme="minorHAnsi" w:eastAsia="Calibri" w:hAnsiTheme="minorHAnsi" w:cstheme="minorHAnsi"/>
          <w:b/>
        </w:rPr>
        <w:t>Załadunek na środek transportu (samolot, samochód), który ma przekraczać granicę fizycznie w dniu 31.12.2020</w:t>
      </w:r>
      <w:r w:rsidR="00DE4A03" w:rsidRPr="00FB0398">
        <w:rPr>
          <w:rFonts w:asciiTheme="minorHAnsi" w:eastAsia="Calibri" w:hAnsiTheme="minorHAnsi" w:cstheme="minorHAnsi"/>
          <w:b/>
        </w:rPr>
        <w:t xml:space="preserve"> r.</w:t>
      </w:r>
      <w:r w:rsidRPr="00FB0398">
        <w:rPr>
          <w:rFonts w:asciiTheme="minorHAnsi" w:eastAsia="Calibri" w:hAnsiTheme="minorHAnsi" w:cstheme="minorHAnsi"/>
          <w:b/>
        </w:rPr>
        <w:t>?</w:t>
      </w:r>
    </w:p>
    <w:p w:rsidR="002623F0" w:rsidRPr="003751D0" w:rsidRDefault="002623F0" w:rsidP="00FB0398">
      <w:pPr>
        <w:spacing w:line="264" w:lineRule="auto"/>
        <w:ind w:left="720"/>
        <w:contextualSpacing/>
        <w:rPr>
          <w:rFonts w:asciiTheme="minorHAnsi" w:eastAsia="Calibri" w:hAnsiTheme="minorHAnsi" w:cstheme="minorHAnsi"/>
        </w:rPr>
      </w:pPr>
      <w:r w:rsidRPr="003751D0">
        <w:rPr>
          <w:rFonts w:asciiTheme="minorHAnsi" w:eastAsia="Calibri" w:hAnsiTheme="minorHAnsi" w:cstheme="minorHAnsi"/>
        </w:rPr>
        <w:t xml:space="preserve"> </w:t>
      </w: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Zgodnie z art. 47 ust. 2 umowy o wystąpieniu, po przybyciu tych towarów na odpowiednią granicę między Unią a Zjednoczonym Królestwem osoba zainteresowana jest zobowiązana wykazać:</w:t>
      </w: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 xml:space="preserve">– że takie przemieszczenie rozpoczęło się przed zakończeniem okresu przejściowego, a zakończyło się po jego upływie; oraz </w:t>
      </w: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 że te towary mają status celny towarów unijnych (środki dowodowe potwierdzające unijny status celny towarów są określone w art. 199 Rozporządzenia Wykonawczego).</w:t>
      </w: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 xml:space="preserve">Zgodnie ze „Wskazówkami” Komisji Europejskiej, jako dowód rozpoczęcia przemieszczania przed zakończeniem okresu przejściowego, należy przedstawić dokument przewozowy lub inny dokument (np. lotniczy list przewozowy), na którym umieszczona jest data rozpoczęcia przemieszczania obejmującego przekroczenie granicy. Datą tą może być dzień, w którym </w:t>
      </w:r>
      <w:r w:rsidRPr="003751D0">
        <w:rPr>
          <w:rFonts w:asciiTheme="minorHAnsi" w:eastAsia="Calibri" w:hAnsiTheme="minorHAnsi" w:cstheme="minorHAnsi"/>
        </w:rPr>
        <w:lastRenderedPageBreak/>
        <w:t xml:space="preserve">przewoźnik przyjął towary do przewozu, ale może to być również dzień przyjęcia towarów przez spedytora, który przejął odpowiedzialność za towary, a następnie zlecił ich przewóz przewoźnikowi. </w:t>
      </w: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Należy podkreślić, że w przypadku transportu drogowego, dokumenty te muszą być przedstawione po przybyciu na granicę między Unią a Zjednoczonym Królestwem, a nie w Polsce jako kraju docelowym, czy też kraju wysyłki. Jeśli dokumenty te nie zostaną przedstawione na granicy, mogą zostać objęte np. procedurą tranzytu T1 i będą traktowane jako towary z państw trzecich, tzn. w chwili ich dopuszczenia do obrotu na obszarze celnym Unii wymagane będzie opłacenie należnego długu celnego i podatków.</w:t>
      </w:r>
    </w:p>
    <w:p w:rsidR="002623F0" w:rsidRPr="003751D0" w:rsidRDefault="002623F0" w:rsidP="00FB0398">
      <w:pPr>
        <w:spacing w:line="264" w:lineRule="auto"/>
        <w:ind w:left="720"/>
        <w:contextualSpacing/>
        <w:rPr>
          <w:rFonts w:asciiTheme="minorHAnsi" w:eastAsia="Calibri" w:hAnsiTheme="minorHAnsi" w:cstheme="minorHAnsi"/>
        </w:rPr>
      </w:pPr>
    </w:p>
    <w:p w:rsidR="002623F0" w:rsidRPr="00FB0398" w:rsidRDefault="002623F0" w:rsidP="00FB0398">
      <w:pPr>
        <w:pStyle w:val="Akapitzlist"/>
        <w:numPr>
          <w:ilvl w:val="0"/>
          <w:numId w:val="3"/>
        </w:numPr>
        <w:spacing w:line="264" w:lineRule="auto"/>
        <w:rPr>
          <w:rFonts w:asciiTheme="minorHAnsi" w:eastAsia="Calibri" w:hAnsiTheme="minorHAnsi" w:cstheme="minorHAnsi"/>
          <w:b/>
        </w:rPr>
      </w:pPr>
      <w:r w:rsidRPr="00FB0398">
        <w:rPr>
          <w:rFonts w:asciiTheme="minorHAnsi" w:eastAsia="Calibri" w:hAnsiTheme="minorHAnsi" w:cstheme="minorHAnsi"/>
          <w:b/>
        </w:rPr>
        <w:t>Zgłoszenie zbiorcze do 150 EURO. W celu zwiększenia efektywności dokon</w:t>
      </w:r>
      <w:r w:rsidR="006B10F3" w:rsidRPr="00FB0398">
        <w:rPr>
          <w:rFonts w:asciiTheme="minorHAnsi" w:eastAsia="Calibri" w:hAnsiTheme="minorHAnsi" w:cstheme="minorHAnsi"/>
          <w:b/>
        </w:rPr>
        <w:t>ywania zgłoszeń celnych przedsiębiorca</w:t>
      </w:r>
      <w:r w:rsidRPr="00FB0398">
        <w:rPr>
          <w:rFonts w:asciiTheme="minorHAnsi" w:eastAsia="Calibri" w:hAnsiTheme="minorHAnsi" w:cstheme="minorHAnsi"/>
          <w:b/>
        </w:rPr>
        <w:t xml:space="preserve"> rozważa możliwość wprowadzenia odprawy zbiorczej dla przesyłek do 150 EURO. Jednakże po zapoznaniu się z wytycznymi rodzą się liczne wątpliwości odnośnie wielu kwestii. Stąd prośba o ustosunkowanie się do poniższych pytań: </w:t>
      </w:r>
    </w:p>
    <w:p w:rsidR="002623F0" w:rsidRPr="00FB0398" w:rsidRDefault="002623F0" w:rsidP="00FB0398">
      <w:pPr>
        <w:spacing w:line="264" w:lineRule="auto"/>
        <w:ind w:firstLine="720"/>
        <w:rPr>
          <w:rFonts w:asciiTheme="minorHAnsi" w:eastAsia="Calibri" w:hAnsiTheme="minorHAnsi" w:cstheme="minorHAnsi"/>
          <w:b/>
        </w:rPr>
      </w:pPr>
      <w:r w:rsidRPr="00FB0398">
        <w:rPr>
          <w:rFonts w:asciiTheme="minorHAnsi" w:eastAsia="Calibri" w:hAnsiTheme="minorHAnsi" w:cstheme="minorHAnsi"/>
          <w:b/>
        </w:rPr>
        <w:t>Czy przewidywane jest stworzenie wzoru ewidencji przesyłek do 150 EURO?</w:t>
      </w:r>
    </w:p>
    <w:p w:rsidR="002623F0" w:rsidRPr="003751D0" w:rsidRDefault="002623F0" w:rsidP="00FB0398">
      <w:pPr>
        <w:spacing w:line="264" w:lineRule="auto"/>
        <w:ind w:firstLine="720"/>
        <w:rPr>
          <w:rFonts w:asciiTheme="minorHAnsi" w:eastAsia="Calibri" w:hAnsiTheme="minorHAnsi" w:cstheme="minorHAnsi"/>
        </w:rPr>
      </w:pPr>
    </w:p>
    <w:p w:rsidR="002623F0" w:rsidRPr="00FB0398"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 xml:space="preserve">Nie przewiduje się stworzenia wzoru ewidencji dla przesyłek do 150 euro funkcjonującej na podstawie obecnie obowiązujących § 14 rozporządzenia Ministra Finansów </w:t>
      </w:r>
      <w:r w:rsidRPr="00FB0398">
        <w:rPr>
          <w:rFonts w:asciiTheme="minorHAnsi" w:eastAsia="Calibri" w:hAnsiTheme="minorHAnsi" w:cstheme="minorHAnsi"/>
        </w:rPr>
        <w:t>w sprawie zgłoszeń celnych.</w:t>
      </w:r>
    </w:p>
    <w:p w:rsidR="002623F0" w:rsidRPr="003751D0" w:rsidRDefault="002623F0" w:rsidP="00FB0398">
      <w:pPr>
        <w:spacing w:line="264" w:lineRule="auto"/>
        <w:ind w:left="720"/>
        <w:contextualSpacing/>
        <w:rPr>
          <w:rFonts w:asciiTheme="minorHAnsi" w:eastAsia="Calibri" w:hAnsiTheme="minorHAnsi" w:cstheme="minorHAnsi"/>
        </w:rPr>
      </w:pPr>
    </w:p>
    <w:p w:rsidR="002623F0" w:rsidRPr="00FB0398" w:rsidRDefault="002623F0" w:rsidP="00FB0398">
      <w:pPr>
        <w:pStyle w:val="Akapitzlist"/>
        <w:numPr>
          <w:ilvl w:val="0"/>
          <w:numId w:val="3"/>
        </w:numPr>
        <w:spacing w:line="264" w:lineRule="auto"/>
        <w:rPr>
          <w:rFonts w:asciiTheme="minorHAnsi" w:eastAsia="Calibri" w:hAnsiTheme="minorHAnsi" w:cstheme="minorHAnsi"/>
          <w:b/>
        </w:rPr>
      </w:pPr>
      <w:r w:rsidRPr="00FB0398">
        <w:rPr>
          <w:rFonts w:asciiTheme="minorHAnsi" w:eastAsia="Calibri" w:hAnsiTheme="minorHAnsi" w:cstheme="minorHAnsi"/>
          <w:b/>
        </w:rPr>
        <w:t xml:space="preserve">Czy będą zmiany w zakresie saldowania lub audytowania zabezpieczeń do przesyłek małej wartości w ewidencji, w stosunku do obecnych wymogów oraz obciążania zabezpieczenia miejsca uznanego lub magazynu czasowego składowania? </w:t>
      </w:r>
    </w:p>
    <w:p w:rsidR="002623F0" w:rsidRPr="003751D0" w:rsidRDefault="002623F0" w:rsidP="00FB0398">
      <w:pPr>
        <w:spacing w:line="264" w:lineRule="auto"/>
        <w:ind w:left="720"/>
        <w:rPr>
          <w:rFonts w:asciiTheme="minorHAnsi" w:eastAsia="Calibri" w:hAnsiTheme="minorHAnsi" w:cstheme="minorHAnsi"/>
        </w:rPr>
      </w:pPr>
    </w:p>
    <w:p w:rsidR="002623F0" w:rsidRPr="003751D0" w:rsidRDefault="00FB0398" w:rsidP="00FB0398">
      <w:pPr>
        <w:spacing w:line="264" w:lineRule="auto"/>
        <w:contextualSpacing/>
        <w:rPr>
          <w:rFonts w:asciiTheme="minorHAnsi" w:eastAsia="Calibri" w:hAnsiTheme="minorHAnsi" w:cstheme="minorHAnsi"/>
        </w:rPr>
      </w:pPr>
      <w:r>
        <w:rPr>
          <w:rFonts w:asciiTheme="minorHAnsi" w:eastAsia="Calibri" w:hAnsiTheme="minorHAnsi" w:cstheme="minorHAnsi"/>
        </w:rPr>
        <w:t>Z</w:t>
      </w:r>
      <w:r w:rsidR="002623F0" w:rsidRPr="003751D0">
        <w:rPr>
          <w:rFonts w:asciiTheme="minorHAnsi" w:eastAsia="Calibri" w:hAnsiTheme="minorHAnsi" w:cstheme="minorHAnsi"/>
        </w:rPr>
        <w:t xml:space="preserve">asady związane ze składaniem i saldowaniem zabezpieczenia dla miejsc uznanych i magazynów czasowego składowania pozostają bez zmian. </w:t>
      </w:r>
    </w:p>
    <w:p w:rsidR="002623F0" w:rsidRPr="003751D0" w:rsidRDefault="002623F0" w:rsidP="00FB0398">
      <w:pPr>
        <w:spacing w:line="264" w:lineRule="auto"/>
        <w:ind w:left="720"/>
        <w:contextualSpacing/>
        <w:rPr>
          <w:rFonts w:asciiTheme="minorHAnsi" w:eastAsia="Calibri" w:hAnsiTheme="minorHAnsi" w:cstheme="minorHAnsi"/>
        </w:rPr>
      </w:pPr>
    </w:p>
    <w:p w:rsidR="002623F0" w:rsidRPr="00FB0398" w:rsidRDefault="002623F0" w:rsidP="00FB0398">
      <w:pPr>
        <w:pStyle w:val="Akapitzlist"/>
        <w:numPr>
          <w:ilvl w:val="0"/>
          <w:numId w:val="3"/>
        </w:numPr>
        <w:spacing w:line="264" w:lineRule="auto"/>
        <w:rPr>
          <w:rFonts w:asciiTheme="minorHAnsi" w:eastAsia="Calibri" w:hAnsiTheme="minorHAnsi" w:cstheme="minorHAnsi"/>
          <w:b/>
        </w:rPr>
      </w:pPr>
      <w:r w:rsidRPr="00FB0398">
        <w:rPr>
          <w:rFonts w:asciiTheme="minorHAnsi" w:eastAsia="Calibri" w:hAnsiTheme="minorHAnsi" w:cstheme="minorHAnsi"/>
          <w:b/>
        </w:rPr>
        <w:t>Czy UCS/OC oczekują dostępu do ewidencji online (np. przez stronę WWW), czy raczej raportu w formie pliku dostarczanego ze zgłoszeniem (np. PDF). Jeśli raportu, to, w jaki sposób ten raport ma być dostarczony? Przez PUESC (e-Dokumenty na nowym PUESC) czy może e-mail?</w:t>
      </w:r>
    </w:p>
    <w:p w:rsidR="002623F0" w:rsidRPr="003751D0" w:rsidRDefault="002623F0" w:rsidP="00FB0398">
      <w:pPr>
        <w:spacing w:line="264" w:lineRule="auto"/>
        <w:ind w:left="720"/>
        <w:rPr>
          <w:rFonts w:asciiTheme="minorHAnsi" w:eastAsia="Calibri" w:hAnsiTheme="minorHAnsi" w:cstheme="minorHAnsi"/>
        </w:rPr>
      </w:pPr>
    </w:p>
    <w:p w:rsidR="002623F0" w:rsidRPr="003751D0" w:rsidRDefault="002623F0" w:rsidP="00FB0398">
      <w:pPr>
        <w:spacing w:line="264" w:lineRule="auto"/>
        <w:rPr>
          <w:rFonts w:asciiTheme="minorHAnsi" w:eastAsia="Calibri" w:hAnsiTheme="minorHAnsi" w:cstheme="minorHAnsi"/>
          <w:b/>
        </w:rPr>
      </w:pPr>
      <w:r w:rsidRPr="003751D0">
        <w:rPr>
          <w:rFonts w:asciiTheme="minorHAnsi" w:eastAsia="Calibri" w:hAnsiTheme="minorHAnsi" w:cstheme="minorHAnsi"/>
        </w:rPr>
        <w:t xml:space="preserve">Ewidencja, o której mowa w § 14 ust. 3 rozporządzenia Ministra Finansów </w:t>
      </w:r>
      <w:r w:rsidRPr="00FB0398">
        <w:rPr>
          <w:rFonts w:asciiTheme="minorHAnsi" w:eastAsia="Calibri" w:hAnsiTheme="minorHAnsi" w:cstheme="minorHAnsi"/>
        </w:rPr>
        <w:t>w sprawie zgłoszeń celnych</w:t>
      </w:r>
      <w:r w:rsidRPr="003751D0">
        <w:rPr>
          <w:rFonts w:asciiTheme="minorHAnsi" w:eastAsia="Calibri" w:hAnsiTheme="minorHAnsi" w:cstheme="minorHAnsi"/>
        </w:rPr>
        <w:t xml:space="preserve">, </w:t>
      </w:r>
      <w:r w:rsidRPr="003751D0">
        <w:rPr>
          <w:rFonts w:asciiTheme="minorHAnsi" w:eastAsia="Calibri" w:hAnsiTheme="minorHAnsi" w:cstheme="minorHAnsi"/>
          <w:b/>
        </w:rPr>
        <w:t>jest zatwierdzana przez organ celny, do którego jest składane zgłoszenie celne</w:t>
      </w:r>
      <w:r w:rsidRPr="003751D0">
        <w:rPr>
          <w:rFonts w:asciiTheme="minorHAnsi" w:eastAsia="Calibri" w:hAnsiTheme="minorHAnsi" w:cstheme="minorHAnsi"/>
        </w:rPr>
        <w:t xml:space="preserve">, na wniosek osoby składającej zgłoszenie celne, przed złożeniem po raz pierwszy takiego zgłoszenia oraz </w:t>
      </w:r>
      <w:r w:rsidRPr="003751D0">
        <w:rPr>
          <w:rFonts w:asciiTheme="minorHAnsi" w:eastAsia="Calibri" w:hAnsiTheme="minorHAnsi" w:cstheme="minorHAnsi"/>
          <w:b/>
        </w:rPr>
        <w:t xml:space="preserve">udostępniana wraz z tym zgłoszeniem organowi celnemu, do którego jest ono składane, w części dotyczącej przesyłek objętych tym zgłoszeniem. </w:t>
      </w:r>
      <w:r w:rsidRPr="003751D0">
        <w:rPr>
          <w:rFonts w:asciiTheme="minorHAnsi" w:eastAsia="Calibri" w:hAnsiTheme="minorHAnsi" w:cstheme="minorHAnsi"/>
        </w:rPr>
        <w:t>Sposób udostępniania ewidencji jest zatem przedmiotem ustaleń prowadzącego ewidencję z organem celnym, do którego składane są zgłoszenia na podstawie tej ewidencji.</w:t>
      </w:r>
    </w:p>
    <w:p w:rsidR="00076471" w:rsidRPr="003751D0" w:rsidRDefault="00076471" w:rsidP="00FB0398">
      <w:pPr>
        <w:spacing w:line="264" w:lineRule="auto"/>
        <w:ind w:left="720"/>
        <w:rPr>
          <w:rFonts w:asciiTheme="minorHAnsi" w:eastAsia="Calibri" w:hAnsiTheme="minorHAnsi" w:cstheme="minorHAnsi"/>
          <w:b/>
        </w:rPr>
      </w:pPr>
    </w:p>
    <w:p w:rsidR="002623F0" w:rsidRPr="00FB0398" w:rsidRDefault="002623F0" w:rsidP="00FB0398">
      <w:pPr>
        <w:pStyle w:val="Akapitzlist"/>
        <w:numPr>
          <w:ilvl w:val="0"/>
          <w:numId w:val="3"/>
        </w:numPr>
        <w:spacing w:line="264" w:lineRule="auto"/>
        <w:rPr>
          <w:rFonts w:asciiTheme="minorHAnsi" w:eastAsia="Calibri" w:hAnsiTheme="minorHAnsi" w:cstheme="minorHAnsi"/>
          <w:b/>
        </w:rPr>
      </w:pPr>
      <w:r w:rsidRPr="00FB0398">
        <w:rPr>
          <w:rFonts w:asciiTheme="minorHAnsi" w:eastAsia="Calibri" w:hAnsiTheme="minorHAnsi" w:cstheme="minorHAnsi"/>
          <w:b/>
        </w:rPr>
        <w:t xml:space="preserve">Jak będzie wyglądała procedura wpisu do ewidencji przesyłek małej wartości? Czy przed wpisem do ewidencji OC będzie dokonywał analizy danych ewidencji i wskazywał, które przesyłki powinny podlegać odprawie indywidulnej, a które zbiorczej? Jeśli tak, to, na jakiej podstawie? Czy należy dostarczyć zestawienia np. w PDF z wszystkimi planowanymi przesyłkami? </w:t>
      </w:r>
    </w:p>
    <w:p w:rsidR="002623F0" w:rsidRPr="003751D0" w:rsidRDefault="002623F0" w:rsidP="00FB0398">
      <w:pPr>
        <w:spacing w:line="264" w:lineRule="auto"/>
        <w:ind w:left="720"/>
        <w:rPr>
          <w:rFonts w:asciiTheme="minorHAnsi" w:eastAsia="Calibri" w:hAnsiTheme="minorHAnsi" w:cstheme="minorHAnsi"/>
        </w:rPr>
      </w:pPr>
    </w:p>
    <w:p w:rsidR="002623F0" w:rsidRPr="003751D0" w:rsidRDefault="00076471"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Odpowiedź jak do pyt. 13</w:t>
      </w:r>
      <w:r w:rsidR="002623F0" w:rsidRPr="003751D0">
        <w:rPr>
          <w:rFonts w:asciiTheme="minorHAnsi" w:eastAsia="Calibri" w:hAnsiTheme="minorHAnsi" w:cstheme="minorHAnsi"/>
        </w:rPr>
        <w:t xml:space="preserve">. </w:t>
      </w:r>
    </w:p>
    <w:p w:rsidR="002623F0" w:rsidRPr="003751D0" w:rsidRDefault="002623F0" w:rsidP="00FB0398">
      <w:pPr>
        <w:spacing w:line="264" w:lineRule="auto"/>
        <w:ind w:left="720"/>
        <w:contextualSpacing/>
        <w:rPr>
          <w:rFonts w:asciiTheme="minorHAnsi" w:eastAsia="Calibri" w:hAnsiTheme="minorHAnsi" w:cstheme="minorHAnsi"/>
        </w:rPr>
      </w:pPr>
    </w:p>
    <w:p w:rsidR="002623F0" w:rsidRPr="00FB0398" w:rsidRDefault="002623F0" w:rsidP="00FB0398">
      <w:pPr>
        <w:pStyle w:val="Akapitzlist"/>
        <w:numPr>
          <w:ilvl w:val="0"/>
          <w:numId w:val="3"/>
        </w:numPr>
        <w:spacing w:line="264" w:lineRule="auto"/>
        <w:rPr>
          <w:rFonts w:asciiTheme="minorHAnsi" w:eastAsia="Calibri" w:hAnsiTheme="minorHAnsi" w:cstheme="minorHAnsi"/>
          <w:b/>
        </w:rPr>
      </w:pPr>
      <w:r w:rsidRPr="00FB0398">
        <w:rPr>
          <w:rFonts w:asciiTheme="minorHAnsi" w:eastAsia="Calibri" w:hAnsiTheme="minorHAnsi" w:cstheme="minorHAnsi"/>
          <w:b/>
        </w:rPr>
        <w:t>Kiedy przesyłka ma trafić do ewidencji? Czy ma się to odbyć przed odprawą, w trakcie odprawy (np. wysłania zgłoszenia do OC), czy też dopiero po odprawie (przyjęciu zgłoszenia przez PUESC)?</w:t>
      </w:r>
    </w:p>
    <w:p w:rsidR="002623F0" w:rsidRPr="003751D0" w:rsidRDefault="002623F0" w:rsidP="00FB0398">
      <w:pPr>
        <w:spacing w:line="264" w:lineRule="auto"/>
        <w:ind w:left="720"/>
        <w:rPr>
          <w:rFonts w:asciiTheme="minorHAnsi" w:eastAsia="Calibri" w:hAnsiTheme="minorHAnsi" w:cstheme="minorHAnsi"/>
        </w:rPr>
      </w:pP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 xml:space="preserve">Zgodnie z § 14 ust. 3 ww. rozporządzenia, zbiorcze zgłoszenie celne składane jest na podstawie danych zawartych w ewidencji. A zatem dane dotyczące przesyłki powinny być wprowadzone do ewidencji przed złożeniem zgłoszenia celnego. </w:t>
      </w:r>
    </w:p>
    <w:p w:rsidR="002623F0" w:rsidRPr="003751D0" w:rsidRDefault="002623F0" w:rsidP="00FB0398">
      <w:pPr>
        <w:spacing w:line="264" w:lineRule="auto"/>
        <w:ind w:left="720"/>
        <w:contextualSpacing/>
        <w:rPr>
          <w:rFonts w:asciiTheme="minorHAnsi" w:eastAsia="Calibri" w:hAnsiTheme="minorHAnsi" w:cstheme="minorHAnsi"/>
        </w:rPr>
      </w:pPr>
    </w:p>
    <w:p w:rsidR="002623F0" w:rsidRPr="00FB0398" w:rsidRDefault="002623F0" w:rsidP="00FB0398">
      <w:pPr>
        <w:pStyle w:val="Akapitzlist"/>
        <w:numPr>
          <w:ilvl w:val="0"/>
          <w:numId w:val="3"/>
        </w:numPr>
        <w:spacing w:line="264" w:lineRule="auto"/>
        <w:rPr>
          <w:rFonts w:asciiTheme="minorHAnsi" w:eastAsia="Calibri" w:hAnsiTheme="minorHAnsi" w:cstheme="minorHAnsi"/>
          <w:b/>
        </w:rPr>
      </w:pPr>
      <w:r w:rsidRPr="00FB0398">
        <w:rPr>
          <w:rFonts w:asciiTheme="minorHAnsi" w:eastAsia="Calibri" w:hAnsiTheme="minorHAnsi" w:cstheme="minorHAnsi"/>
          <w:b/>
        </w:rPr>
        <w:t>Czy jest określony schemat nadawania numerów dla wpisów w ewidencji?</w:t>
      </w:r>
    </w:p>
    <w:p w:rsidR="002623F0" w:rsidRPr="003751D0" w:rsidRDefault="002623F0" w:rsidP="00FB0398">
      <w:pPr>
        <w:spacing w:line="264" w:lineRule="auto"/>
        <w:ind w:firstLine="720"/>
        <w:rPr>
          <w:rFonts w:asciiTheme="minorHAnsi" w:eastAsia="Calibri" w:hAnsiTheme="minorHAnsi" w:cstheme="minorHAnsi"/>
        </w:rPr>
      </w:pP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Kolejność nadawania numerów jest zależna od formy przedstawiania ewidencji, zatwierdzonych przez organ celny.</w:t>
      </w:r>
    </w:p>
    <w:p w:rsidR="002623F0" w:rsidRPr="003751D0" w:rsidRDefault="002623F0" w:rsidP="00FB0398">
      <w:pPr>
        <w:spacing w:line="264" w:lineRule="auto"/>
        <w:ind w:left="720"/>
        <w:contextualSpacing/>
        <w:rPr>
          <w:rFonts w:asciiTheme="minorHAnsi" w:eastAsia="Calibri" w:hAnsiTheme="minorHAnsi" w:cstheme="minorHAnsi"/>
        </w:rPr>
      </w:pPr>
    </w:p>
    <w:p w:rsidR="002623F0" w:rsidRPr="00FB0398" w:rsidRDefault="002623F0" w:rsidP="00FB0398">
      <w:pPr>
        <w:pStyle w:val="Akapitzlist"/>
        <w:numPr>
          <w:ilvl w:val="0"/>
          <w:numId w:val="3"/>
        </w:numPr>
        <w:spacing w:line="264" w:lineRule="auto"/>
        <w:rPr>
          <w:rFonts w:asciiTheme="minorHAnsi" w:eastAsia="Calibri" w:hAnsiTheme="minorHAnsi" w:cstheme="minorHAnsi"/>
          <w:b/>
        </w:rPr>
      </w:pPr>
      <w:r w:rsidRPr="00FB0398">
        <w:rPr>
          <w:rFonts w:asciiTheme="minorHAnsi" w:eastAsia="Calibri" w:hAnsiTheme="minorHAnsi" w:cstheme="minorHAnsi"/>
          <w:b/>
        </w:rPr>
        <w:t xml:space="preserve">Czy w ewidencji przesyłek jedna przesyłka ma mieć jeden wpis, który będzie podpięty do SAD czy ma być zbiorczy wpis dla SAD (jak pozycje SAD w rejestrze procedury uproszczonej)? </w:t>
      </w:r>
    </w:p>
    <w:p w:rsidR="002623F0" w:rsidRPr="003751D0" w:rsidRDefault="002623F0" w:rsidP="00FB0398">
      <w:pPr>
        <w:spacing w:line="264" w:lineRule="auto"/>
        <w:ind w:left="720"/>
        <w:rPr>
          <w:rFonts w:asciiTheme="minorHAnsi" w:eastAsia="Calibri" w:hAnsiTheme="minorHAnsi" w:cstheme="minorHAnsi"/>
        </w:rPr>
      </w:pP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 xml:space="preserve">Tak, jedna przesyłka ma mieć jeden wpis. Zgodnie z pkt 6.1.b. </w:t>
      </w:r>
      <w:r w:rsidRPr="003751D0">
        <w:rPr>
          <w:rFonts w:asciiTheme="minorHAnsi" w:eastAsia="Calibri" w:hAnsiTheme="minorHAnsi" w:cstheme="minorHAnsi"/>
          <w:i/>
        </w:rPr>
        <w:t>Instrukcji wypełniania zgłoszeń celnych</w:t>
      </w:r>
      <w:r w:rsidRPr="003751D0">
        <w:rPr>
          <w:rFonts w:asciiTheme="minorHAnsi" w:eastAsia="Calibri" w:hAnsiTheme="minorHAnsi" w:cstheme="minorHAnsi"/>
        </w:rPr>
        <w:t>, w zbiorczym zgłoszeniu celnym należy podać po kodzie 1EW1 numery pozycji ewidencji, których dane zgłoszenie zbiorcze dotyczy. Szczegółowe informacje dotyczące zasad wypełniania zbiorczych zgłoszeń celnych związanych z prowadzeniem ewidencji zostały w pkt 6.1.b ww. Instrukcji.</w:t>
      </w:r>
    </w:p>
    <w:p w:rsidR="002623F0" w:rsidRPr="003751D0" w:rsidRDefault="002623F0" w:rsidP="00FB0398">
      <w:pPr>
        <w:spacing w:line="264" w:lineRule="auto"/>
        <w:ind w:left="720"/>
        <w:contextualSpacing/>
        <w:rPr>
          <w:rFonts w:asciiTheme="minorHAnsi" w:eastAsia="Calibri" w:hAnsiTheme="minorHAnsi" w:cstheme="minorHAnsi"/>
        </w:rPr>
      </w:pPr>
    </w:p>
    <w:p w:rsidR="002623F0" w:rsidRPr="00FB0398" w:rsidRDefault="002623F0" w:rsidP="00FB0398">
      <w:pPr>
        <w:pStyle w:val="Akapitzlist"/>
        <w:numPr>
          <w:ilvl w:val="0"/>
          <w:numId w:val="3"/>
        </w:numPr>
        <w:spacing w:line="264" w:lineRule="auto"/>
        <w:rPr>
          <w:rFonts w:asciiTheme="minorHAnsi" w:eastAsia="Calibri" w:hAnsiTheme="minorHAnsi" w:cstheme="minorHAnsi"/>
          <w:b/>
        </w:rPr>
      </w:pPr>
      <w:r w:rsidRPr="00FB0398">
        <w:rPr>
          <w:rFonts w:asciiTheme="minorHAnsi" w:eastAsia="Calibri" w:hAnsiTheme="minorHAnsi" w:cstheme="minorHAnsi"/>
          <w:b/>
        </w:rPr>
        <w:t>Jak ma wyglądać procedura ewentualnych poprawek w ewidencji, jeśli pojawi się tam błąd:</w:t>
      </w:r>
    </w:p>
    <w:p w:rsidR="002623F0" w:rsidRPr="00FB0398" w:rsidRDefault="002623F0" w:rsidP="00FB0398">
      <w:pPr>
        <w:numPr>
          <w:ilvl w:val="0"/>
          <w:numId w:val="1"/>
        </w:numPr>
        <w:spacing w:after="200" w:line="264" w:lineRule="auto"/>
        <w:ind w:left="851"/>
        <w:contextualSpacing/>
        <w:rPr>
          <w:rFonts w:asciiTheme="minorHAnsi" w:eastAsia="Calibri" w:hAnsiTheme="minorHAnsi" w:cstheme="minorHAnsi"/>
          <w:b/>
        </w:rPr>
      </w:pPr>
      <w:r w:rsidRPr="00FB0398">
        <w:rPr>
          <w:rFonts w:asciiTheme="minorHAnsi" w:eastAsia="Calibri" w:hAnsiTheme="minorHAnsi" w:cstheme="minorHAnsi"/>
          <w:b/>
        </w:rPr>
        <w:t xml:space="preserve">W przypadkach, gdy nie ma to wpływu na należności celne (VAT) – np. poprawa opisu towaru, itp. </w:t>
      </w:r>
    </w:p>
    <w:p w:rsidR="002623F0" w:rsidRPr="00FB0398" w:rsidRDefault="002623F0" w:rsidP="00FB0398">
      <w:pPr>
        <w:numPr>
          <w:ilvl w:val="0"/>
          <w:numId w:val="1"/>
        </w:numPr>
        <w:spacing w:after="200" w:line="264" w:lineRule="auto"/>
        <w:ind w:left="851"/>
        <w:contextualSpacing/>
        <w:rPr>
          <w:rFonts w:asciiTheme="minorHAnsi" w:eastAsia="Calibri" w:hAnsiTheme="minorHAnsi" w:cstheme="minorHAnsi"/>
          <w:b/>
        </w:rPr>
      </w:pPr>
      <w:r w:rsidRPr="00FB0398">
        <w:rPr>
          <w:rFonts w:asciiTheme="minorHAnsi" w:eastAsia="Calibri" w:hAnsiTheme="minorHAnsi" w:cstheme="minorHAnsi"/>
          <w:b/>
        </w:rPr>
        <w:t xml:space="preserve">W przypadkach, gdy ma to wpływ na należności celne – zmiana wartości towaru. </w:t>
      </w:r>
    </w:p>
    <w:p w:rsidR="002623F0" w:rsidRPr="003751D0" w:rsidRDefault="002623F0" w:rsidP="00FB0398">
      <w:pPr>
        <w:spacing w:after="200" w:line="264" w:lineRule="auto"/>
        <w:ind w:left="2880"/>
        <w:contextualSpacing/>
        <w:rPr>
          <w:rFonts w:asciiTheme="minorHAnsi" w:eastAsia="Calibri" w:hAnsiTheme="minorHAnsi" w:cstheme="minorHAnsi"/>
        </w:rPr>
      </w:pPr>
    </w:p>
    <w:p w:rsidR="002623F0" w:rsidRPr="003751D0" w:rsidRDefault="002623F0" w:rsidP="00FB0398">
      <w:pPr>
        <w:spacing w:line="264" w:lineRule="auto"/>
        <w:rPr>
          <w:rFonts w:asciiTheme="minorHAnsi" w:eastAsia="Calibri" w:hAnsiTheme="minorHAnsi" w:cstheme="minorHAnsi"/>
        </w:rPr>
      </w:pPr>
      <w:r w:rsidRPr="003751D0">
        <w:rPr>
          <w:rFonts w:asciiTheme="minorHAnsi" w:eastAsia="Calibri" w:hAnsiTheme="minorHAnsi" w:cstheme="minorHAnsi"/>
        </w:rPr>
        <w:t>Odpowiedź jak do pyt. 10, czyli zasady powinny być uzgodnione z organem zatwierdzającym ewidencję.</w:t>
      </w:r>
    </w:p>
    <w:p w:rsidR="002623F0" w:rsidRPr="003751D0" w:rsidRDefault="002623F0" w:rsidP="00FB0398">
      <w:pPr>
        <w:spacing w:line="264" w:lineRule="auto"/>
        <w:ind w:left="720"/>
        <w:rPr>
          <w:rFonts w:asciiTheme="minorHAnsi" w:eastAsia="Calibri" w:hAnsiTheme="minorHAnsi" w:cstheme="minorHAnsi"/>
        </w:rPr>
      </w:pPr>
    </w:p>
    <w:p w:rsidR="002623F0" w:rsidRPr="00FB0398" w:rsidRDefault="002623F0" w:rsidP="00FB0398">
      <w:pPr>
        <w:pStyle w:val="Akapitzlist"/>
        <w:numPr>
          <w:ilvl w:val="0"/>
          <w:numId w:val="3"/>
        </w:numPr>
        <w:spacing w:line="264" w:lineRule="auto"/>
        <w:rPr>
          <w:rFonts w:asciiTheme="minorHAnsi" w:eastAsia="Calibri" w:hAnsiTheme="minorHAnsi" w:cstheme="minorHAnsi"/>
          <w:b/>
        </w:rPr>
      </w:pPr>
      <w:r w:rsidRPr="00FB0398">
        <w:rPr>
          <w:rFonts w:asciiTheme="minorHAnsi" w:eastAsia="Calibri" w:hAnsiTheme="minorHAnsi" w:cstheme="minorHAnsi"/>
          <w:b/>
        </w:rPr>
        <w:t>Czy kontrola ewidencji będzie odbywała się w sposób automatyczny czy manualny?</w:t>
      </w:r>
    </w:p>
    <w:p w:rsidR="002623F0" w:rsidRPr="003751D0" w:rsidRDefault="002623F0" w:rsidP="00FB0398">
      <w:pPr>
        <w:spacing w:line="264" w:lineRule="auto"/>
        <w:ind w:firstLine="720"/>
        <w:rPr>
          <w:rFonts w:asciiTheme="minorHAnsi" w:eastAsia="Calibri" w:hAnsiTheme="minorHAnsi" w:cstheme="minorHAnsi"/>
        </w:rPr>
      </w:pP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lastRenderedPageBreak/>
        <w:t>Proces uzależniony jest od uzgodnień z organem celnym co do samej ewidencji, tj. plików przekazywanych lub udostępnianych.</w:t>
      </w:r>
    </w:p>
    <w:p w:rsidR="002623F0" w:rsidRPr="003751D0" w:rsidRDefault="002623F0" w:rsidP="00FB0398">
      <w:pPr>
        <w:spacing w:line="264" w:lineRule="auto"/>
        <w:ind w:left="720"/>
        <w:contextualSpacing/>
        <w:rPr>
          <w:rFonts w:asciiTheme="minorHAnsi" w:eastAsia="Calibri" w:hAnsiTheme="minorHAnsi" w:cstheme="minorHAnsi"/>
        </w:rPr>
      </w:pPr>
    </w:p>
    <w:p w:rsidR="002623F0" w:rsidRPr="00FB0398" w:rsidRDefault="002623F0" w:rsidP="00FB0398">
      <w:pPr>
        <w:pStyle w:val="Akapitzlist"/>
        <w:numPr>
          <w:ilvl w:val="0"/>
          <w:numId w:val="3"/>
        </w:numPr>
        <w:spacing w:line="264" w:lineRule="auto"/>
        <w:rPr>
          <w:rFonts w:asciiTheme="minorHAnsi" w:eastAsia="Calibri" w:hAnsiTheme="minorHAnsi" w:cstheme="minorHAnsi"/>
          <w:b/>
        </w:rPr>
      </w:pPr>
      <w:r w:rsidRPr="00FB0398">
        <w:rPr>
          <w:rFonts w:asciiTheme="minorHAnsi" w:eastAsia="Calibri" w:hAnsiTheme="minorHAnsi" w:cstheme="minorHAnsi"/>
          <w:b/>
        </w:rPr>
        <w:t>Jakie procedury zostaną wdrożone w przypadku zatrzymania do kontroli, czy też braku możliwości odprawy przesyłki ze zbiorczej odprawy. Czy spowoduje to brak zwolnienia pozostałych przesyłek?</w:t>
      </w:r>
    </w:p>
    <w:p w:rsidR="002623F0" w:rsidRPr="003751D0" w:rsidRDefault="002623F0" w:rsidP="00FB0398">
      <w:pPr>
        <w:spacing w:line="264" w:lineRule="auto"/>
        <w:ind w:left="720"/>
        <w:rPr>
          <w:rFonts w:asciiTheme="minorHAnsi" w:eastAsia="Calibri" w:hAnsiTheme="minorHAnsi" w:cstheme="minorHAnsi"/>
        </w:rPr>
      </w:pP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 xml:space="preserve">W tym zakresie nie ma żadnych zmian w podejściu od czasu wprowadzenia przed kilkunastoma laty zbiorczego zgłoszenia kurierskiego. Tak, co do zasady powinno to skutkować brakiem zwolnienia całego zgłoszenia, z uwagi na to, że jest to </w:t>
      </w:r>
      <w:r w:rsidRPr="003751D0">
        <w:rPr>
          <w:rFonts w:asciiTheme="minorHAnsi" w:eastAsia="Calibri" w:hAnsiTheme="minorHAnsi" w:cstheme="minorHAnsi"/>
        </w:rPr>
        <w:lastRenderedPageBreak/>
        <w:t>zgłoszenie jednopozycyjne obejmujące w tej jednej pozycji również przesyłkę zatrzymaną do kontroli.</w:t>
      </w:r>
    </w:p>
    <w:p w:rsidR="002623F0" w:rsidRPr="003751D0" w:rsidRDefault="002623F0" w:rsidP="00FB0398">
      <w:pPr>
        <w:spacing w:line="264" w:lineRule="auto"/>
        <w:ind w:left="720"/>
        <w:contextualSpacing/>
        <w:rPr>
          <w:rFonts w:asciiTheme="minorHAnsi" w:eastAsia="Calibri" w:hAnsiTheme="minorHAnsi" w:cstheme="minorHAnsi"/>
        </w:rPr>
      </w:pPr>
    </w:p>
    <w:p w:rsidR="002623F0" w:rsidRPr="00FB0398" w:rsidRDefault="002623F0" w:rsidP="00FB0398">
      <w:pPr>
        <w:pStyle w:val="Akapitzlist"/>
        <w:numPr>
          <w:ilvl w:val="0"/>
          <w:numId w:val="3"/>
        </w:numPr>
        <w:spacing w:line="264" w:lineRule="auto"/>
        <w:rPr>
          <w:rFonts w:asciiTheme="minorHAnsi" w:eastAsia="Calibri" w:hAnsiTheme="minorHAnsi" w:cstheme="minorHAnsi"/>
          <w:b/>
        </w:rPr>
      </w:pPr>
      <w:r w:rsidRPr="00FB0398">
        <w:rPr>
          <w:rFonts w:asciiTheme="minorHAnsi" w:eastAsia="Calibri" w:hAnsiTheme="minorHAnsi" w:cstheme="minorHAnsi"/>
          <w:b/>
        </w:rPr>
        <w:t>Czy planowane jest wdrożenie tej opcji również dla przesyłek B2B?</w:t>
      </w:r>
    </w:p>
    <w:p w:rsidR="002623F0" w:rsidRPr="003751D0" w:rsidRDefault="002623F0" w:rsidP="00FB0398">
      <w:pPr>
        <w:spacing w:line="264" w:lineRule="auto"/>
        <w:ind w:firstLine="720"/>
        <w:rPr>
          <w:rFonts w:asciiTheme="minorHAnsi" w:eastAsia="Calibri" w:hAnsiTheme="minorHAnsi" w:cstheme="minorHAnsi"/>
        </w:rPr>
      </w:pPr>
    </w:p>
    <w:p w:rsidR="002623F0" w:rsidRPr="003751D0" w:rsidRDefault="002623F0" w:rsidP="00FB0398">
      <w:pPr>
        <w:rPr>
          <w:rFonts w:asciiTheme="minorHAnsi" w:eastAsia="Times New Roman" w:hAnsiTheme="minorHAnsi" w:cstheme="minorHAnsi"/>
          <w:bCs/>
          <w:szCs w:val="20"/>
          <w:lang w:eastAsia="pl-PL"/>
        </w:rPr>
      </w:pPr>
      <w:r w:rsidRPr="003751D0">
        <w:rPr>
          <w:rFonts w:asciiTheme="minorHAnsi" w:eastAsia="Times New Roman" w:hAnsiTheme="minorHAnsi" w:cstheme="minorHAnsi"/>
          <w:bCs/>
          <w:lang w:eastAsia="pl-PL"/>
        </w:rPr>
        <w:t>Z przepisu § 14 ust. 2 pkt 1 ww. rozporządzenia jednoznacznie wynika, że</w:t>
      </w:r>
      <w:r w:rsidRPr="003751D0">
        <w:rPr>
          <w:rFonts w:asciiTheme="minorHAnsi" w:eastAsia="Times New Roman" w:hAnsiTheme="minorHAnsi" w:cstheme="minorHAnsi"/>
          <w:bCs/>
          <w:szCs w:val="20"/>
          <w:lang w:eastAsia="pl-PL"/>
        </w:rPr>
        <w:t xml:space="preserve"> odbiorcami przesyłek są osoby fizyczne nieprowadzące działalności gospodarczej.</w:t>
      </w:r>
    </w:p>
    <w:p w:rsidR="002623F0" w:rsidRPr="003751D0" w:rsidRDefault="002623F0" w:rsidP="00FB0398">
      <w:pPr>
        <w:spacing w:line="264" w:lineRule="auto"/>
        <w:ind w:left="720"/>
        <w:contextualSpacing/>
        <w:rPr>
          <w:rFonts w:asciiTheme="minorHAnsi" w:eastAsia="Calibri" w:hAnsiTheme="minorHAnsi" w:cstheme="minorHAnsi"/>
        </w:rPr>
      </w:pPr>
    </w:p>
    <w:p w:rsidR="002623F0" w:rsidRPr="00FB0398" w:rsidRDefault="002623F0" w:rsidP="00FB0398">
      <w:pPr>
        <w:pStyle w:val="Akapitzlist"/>
        <w:numPr>
          <w:ilvl w:val="0"/>
          <w:numId w:val="3"/>
        </w:numPr>
        <w:spacing w:line="264" w:lineRule="auto"/>
        <w:rPr>
          <w:rFonts w:asciiTheme="minorHAnsi" w:eastAsia="Calibri" w:hAnsiTheme="minorHAnsi" w:cstheme="minorHAnsi"/>
          <w:b/>
        </w:rPr>
      </w:pPr>
      <w:r w:rsidRPr="00FB0398">
        <w:rPr>
          <w:rFonts w:asciiTheme="minorHAnsi" w:eastAsia="Calibri" w:hAnsiTheme="minorHAnsi" w:cstheme="minorHAnsi"/>
          <w:b/>
        </w:rPr>
        <w:t>Czy taka odprawa może być dokonana wyłącznie w procedurze zwykłej czy również w uproszczonej?</w:t>
      </w:r>
    </w:p>
    <w:p w:rsidR="002623F0" w:rsidRPr="003751D0" w:rsidRDefault="002623F0" w:rsidP="00FB0398">
      <w:pPr>
        <w:spacing w:line="264" w:lineRule="auto"/>
        <w:ind w:left="720"/>
        <w:rPr>
          <w:rFonts w:asciiTheme="minorHAnsi" w:eastAsia="Calibri" w:hAnsiTheme="minorHAnsi" w:cstheme="minorHAnsi"/>
        </w:rPr>
      </w:pP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Zgłoszenie zbiorcze, o którym mowa, ma zastosowanie w procedurze standardowej - nie mają zastosowania przepisy dotyczące zgłoszeń uproszczonych i wpisu do rejestru zgłaszającego.</w:t>
      </w:r>
    </w:p>
    <w:p w:rsidR="002623F0" w:rsidRPr="003751D0" w:rsidRDefault="002623F0" w:rsidP="00FB0398">
      <w:pPr>
        <w:spacing w:line="264" w:lineRule="auto"/>
        <w:ind w:firstLine="720"/>
        <w:rPr>
          <w:rFonts w:asciiTheme="minorHAnsi" w:eastAsia="Calibri" w:hAnsiTheme="minorHAnsi" w:cstheme="minorHAnsi"/>
          <w:b/>
        </w:rPr>
      </w:pPr>
    </w:p>
    <w:p w:rsidR="002623F0" w:rsidRPr="00FB0398" w:rsidRDefault="002623F0" w:rsidP="00FB0398">
      <w:pPr>
        <w:pStyle w:val="Akapitzlist"/>
        <w:numPr>
          <w:ilvl w:val="0"/>
          <w:numId w:val="3"/>
        </w:numPr>
        <w:spacing w:line="264" w:lineRule="auto"/>
        <w:rPr>
          <w:rFonts w:asciiTheme="minorHAnsi" w:eastAsia="Calibri" w:hAnsiTheme="minorHAnsi" w:cstheme="minorHAnsi"/>
          <w:b/>
        </w:rPr>
      </w:pPr>
      <w:r w:rsidRPr="00FB0398">
        <w:rPr>
          <w:rFonts w:asciiTheme="minorHAnsi" w:eastAsia="Calibri" w:hAnsiTheme="minorHAnsi" w:cstheme="minorHAnsi"/>
          <w:b/>
        </w:rPr>
        <w:t xml:space="preserve">Jak należy rozumieć pkt 2) §1 Rozporządzenia Ministra Finansów z dnia 23 grudnia 2019 r., według którego konieczne jest korzystanie z upoważnienia pośredniego. Czy może być to zgłoszenia </w:t>
      </w:r>
      <w:r w:rsidR="00192983" w:rsidRPr="00FB0398">
        <w:rPr>
          <w:rFonts w:asciiTheme="minorHAnsi" w:eastAsia="Calibri" w:hAnsiTheme="minorHAnsi" w:cstheme="minorHAnsi"/>
          <w:b/>
        </w:rPr>
        <w:t>do przedsiębiorcy</w:t>
      </w:r>
      <w:r w:rsidRPr="00FB0398">
        <w:rPr>
          <w:rFonts w:asciiTheme="minorHAnsi" w:eastAsia="Calibri" w:hAnsiTheme="minorHAnsi" w:cstheme="minorHAnsi"/>
          <w:b/>
        </w:rPr>
        <w:t xml:space="preserve"> z upoważni</w:t>
      </w:r>
      <w:r w:rsidR="00192983" w:rsidRPr="00FB0398">
        <w:rPr>
          <w:rFonts w:asciiTheme="minorHAnsi" w:eastAsia="Calibri" w:hAnsiTheme="minorHAnsi" w:cstheme="minorHAnsi"/>
          <w:b/>
        </w:rPr>
        <w:t>eniem pośrednim czy też przedsiębiorca</w:t>
      </w:r>
      <w:r w:rsidRPr="00FB0398">
        <w:rPr>
          <w:rFonts w:asciiTheme="minorHAnsi" w:eastAsia="Calibri" w:hAnsiTheme="minorHAnsi" w:cstheme="minorHAnsi"/>
          <w:b/>
        </w:rPr>
        <w:t xml:space="preserve"> musi posiadać upoważnienie pośrednie od każdego odbiorcy towaru? </w:t>
      </w:r>
    </w:p>
    <w:p w:rsidR="002623F0" w:rsidRPr="003751D0" w:rsidRDefault="002623F0" w:rsidP="00FB0398">
      <w:pPr>
        <w:spacing w:line="264" w:lineRule="auto"/>
        <w:rPr>
          <w:rFonts w:asciiTheme="minorHAnsi" w:eastAsia="Calibri" w:hAnsiTheme="minorHAnsi" w:cstheme="minorHAnsi"/>
        </w:rPr>
      </w:pP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 xml:space="preserve">Zgodnie § 14 ust. 2 pkt 2 ww. rozporządzenia, osoba składająca zgłoszenie działa jako przedstawiciel pośredni, o którym </w:t>
      </w:r>
      <w:r w:rsidRPr="003751D0">
        <w:rPr>
          <w:rFonts w:asciiTheme="minorHAnsi" w:eastAsia="Calibri" w:hAnsiTheme="minorHAnsi" w:cstheme="minorHAnsi"/>
        </w:rPr>
        <w:lastRenderedPageBreak/>
        <w:t>mowa w art. 18 unijnego kodeksu celnego. Oznacza to, że składający zgłoszenie musi posiadać upoważnienie pośrednie od każdego odbiorcy towaru.</w:t>
      </w:r>
    </w:p>
    <w:p w:rsidR="002623F0" w:rsidRPr="003751D0" w:rsidRDefault="002623F0" w:rsidP="00FB0398">
      <w:pPr>
        <w:spacing w:line="264" w:lineRule="auto"/>
        <w:contextualSpacing/>
        <w:rPr>
          <w:rFonts w:asciiTheme="minorHAnsi" w:eastAsia="Calibri" w:hAnsiTheme="minorHAnsi" w:cstheme="minorHAnsi"/>
        </w:rPr>
      </w:pPr>
    </w:p>
    <w:p w:rsidR="002623F0" w:rsidRPr="00FB0398" w:rsidRDefault="002623F0" w:rsidP="00FB0398">
      <w:pPr>
        <w:pStyle w:val="Akapitzlist"/>
        <w:numPr>
          <w:ilvl w:val="0"/>
          <w:numId w:val="3"/>
        </w:numPr>
        <w:spacing w:line="264" w:lineRule="auto"/>
        <w:rPr>
          <w:rFonts w:asciiTheme="minorHAnsi" w:eastAsia="Calibri" w:hAnsiTheme="minorHAnsi" w:cstheme="minorHAnsi"/>
          <w:b/>
        </w:rPr>
      </w:pPr>
      <w:r w:rsidRPr="00FB0398">
        <w:rPr>
          <w:rFonts w:asciiTheme="minorHAnsi" w:eastAsia="Calibri" w:hAnsiTheme="minorHAnsi" w:cstheme="minorHAnsi"/>
          <w:b/>
          <w:u w:val="single"/>
        </w:rPr>
        <w:t>Wymagania dotyczące oryginałów dokumentów</w:t>
      </w:r>
      <w:r w:rsidRPr="00FB0398">
        <w:rPr>
          <w:rFonts w:asciiTheme="minorHAnsi" w:eastAsia="Calibri" w:hAnsiTheme="minorHAnsi" w:cstheme="minorHAnsi"/>
          <w:b/>
        </w:rPr>
        <w:t>.</w:t>
      </w:r>
      <w:r w:rsidR="00197236" w:rsidRPr="00FB0398">
        <w:rPr>
          <w:rFonts w:asciiTheme="minorHAnsi" w:eastAsia="Calibri" w:hAnsiTheme="minorHAnsi" w:cstheme="minorHAnsi"/>
        </w:rPr>
        <w:t xml:space="preserve"> </w:t>
      </w:r>
      <w:r w:rsidR="00197236" w:rsidRPr="00FB0398">
        <w:rPr>
          <w:rFonts w:asciiTheme="minorHAnsi" w:eastAsia="Calibri" w:hAnsiTheme="minorHAnsi" w:cstheme="minorHAnsi"/>
          <w:b/>
        </w:rPr>
        <w:t>Przedsiębiorca chciał</w:t>
      </w:r>
      <w:r w:rsidRPr="00FB0398">
        <w:rPr>
          <w:rFonts w:asciiTheme="minorHAnsi" w:eastAsia="Calibri" w:hAnsiTheme="minorHAnsi" w:cstheme="minorHAnsi"/>
          <w:b/>
        </w:rPr>
        <w:t>by również zawnioskować o uznawanie kopii wyjaśnień, wniosków, dowodów alternatywnych itp. przez pracowników KAS. Dostarczenie oryginałów dokumentów przez administracje celne zarówno w kraju jak i zagranicą, a także uzyskanie ich od innych stron w okresie pandemii COVID-19 jest często niemożliwe, nie wspominając o naj</w:t>
      </w:r>
      <w:r w:rsidR="00197236" w:rsidRPr="00FB0398">
        <w:rPr>
          <w:rFonts w:asciiTheme="minorHAnsi" w:eastAsia="Calibri" w:hAnsiTheme="minorHAnsi" w:cstheme="minorHAnsi"/>
          <w:b/>
        </w:rPr>
        <w:t>ważniejszej kwestii, że narażane jest</w:t>
      </w:r>
      <w:r w:rsidRPr="00FB0398">
        <w:rPr>
          <w:rFonts w:asciiTheme="minorHAnsi" w:eastAsia="Calibri" w:hAnsiTheme="minorHAnsi" w:cstheme="minorHAnsi"/>
          <w:b/>
        </w:rPr>
        <w:t xml:space="preserve"> zdrowie innych osób, angażując je w celu dostarczenia wymaganych oryginałów. </w:t>
      </w:r>
    </w:p>
    <w:p w:rsidR="002623F0" w:rsidRPr="003751D0" w:rsidRDefault="002623F0" w:rsidP="00FB0398">
      <w:pPr>
        <w:spacing w:line="264" w:lineRule="auto"/>
        <w:ind w:left="720"/>
        <w:contextualSpacing/>
        <w:rPr>
          <w:rFonts w:asciiTheme="minorHAnsi" w:eastAsia="Calibri" w:hAnsiTheme="minorHAnsi" w:cstheme="minorHAnsi"/>
        </w:rPr>
      </w:pP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W zakresie postępowania celnego po zwolnieniu towaru do procedury o konieczności dostarczenia dokumentów w oryginale bądź w postaci kserokopii decyduje organ prowadzący postępowanie, a decyzja o tym jest podejmowana m. in. w odniesieniu do ewentualnego postępowania sądowego, które, co do zasady, bazuje na oryginałach.</w:t>
      </w: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 xml:space="preserve">W przypadku zgłoszeń celnych obsługa dokumentów w postaci papierowej jest ograniczona do sytuacji, gdy niezbędnym jest naniesienie adnotacji organu celnego na danym dokumencie. </w:t>
      </w: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Niezależnie od powyższej zasady, nie można wykluczyć przypadków, gdy przedstawienie oryginału dokumentu, (co do którego nie ma wymogu naniesienia adnotacji przez organ celny) będzie w ocenie tegoż organu niezbędne dla zweryfikowania wątpliwości odnośnie wiarygodności kopii elektronicznej. Za</w:t>
      </w:r>
      <w:r w:rsidRPr="003751D0">
        <w:rPr>
          <w:rFonts w:asciiTheme="minorHAnsi" w:eastAsia="Calibri" w:hAnsiTheme="minorHAnsi" w:cstheme="minorHAnsi"/>
        </w:rPr>
        <w:lastRenderedPageBreak/>
        <w:t xml:space="preserve">kres dokumentów, które nie muszą być przedstawiane organom celnym, jak również dokumentów, co do których nie ma konieczności przedstawienia oryginału, został określony w dokumencie „e-Załączniki Instrukcja dla podmiotów” wraz z załącznikami dostępnych na PUESC. </w:t>
      </w: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Generalną zasadą jest, że to organ celny I instancji decyduje, czy dany dokument jest konieczny w oryginale w trakcie postępowania.</w:t>
      </w: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 xml:space="preserve">Niezależnie od powyższego uprzejmie wyjaśniamy, że w kwestii </w:t>
      </w:r>
      <w:r w:rsidRPr="003751D0">
        <w:rPr>
          <w:rFonts w:asciiTheme="minorHAnsi" w:eastAsia="Calibri" w:hAnsiTheme="minorHAnsi" w:cstheme="minorHAnsi"/>
          <w:u w:val="single"/>
        </w:rPr>
        <w:t>ustalania wartości celnej</w:t>
      </w:r>
      <w:r w:rsidRPr="003751D0">
        <w:rPr>
          <w:rFonts w:asciiTheme="minorHAnsi" w:eastAsia="Calibri" w:hAnsiTheme="minorHAnsi" w:cstheme="minorHAnsi"/>
        </w:rPr>
        <w:t>, jak wynika z art. 145 RW, wymaganym dokumentem załączanym do zgłoszenia celnego jest faktura, która dotyczy zadeklarowanej wartości transakcyjnej. Z punktu widzenia ustalania wartości celnej towaru faktura nie musi być egzemplarzem oryginalnym (może to być m.in. kserokopia, kopia przekazana w postaci pliku pdf). Takie stano</w:t>
      </w:r>
      <w:r w:rsidRPr="003751D0">
        <w:rPr>
          <w:rFonts w:asciiTheme="minorHAnsi" w:eastAsia="Calibri" w:hAnsiTheme="minorHAnsi" w:cstheme="minorHAnsi"/>
        </w:rPr>
        <w:lastRenderedPageBreak/>
        <w:t>wisko wynika z Komentarza nr 6 „Dokumenty oraz informacje, których organy celne mogą wymagać w charakterze dowodów dla ustalania wartości celnej” zawartego w Kompendium tekstów dotyczących ustalania wartości celnej KE.</w:t>
      </w: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 xml:space="preserve">Natomiast </w:t>
      </w:r>
      <w:r w:rsidRPr="003751D0">
        <w:rPr>
          <w:rFonts w:asciiTheme="minorHAnsi" w:eastAsia="Calibri" w:hAnsiTheme="minorHAnsi" w:cstheme="minorHAnsi"/>
          <w:u w:val="single"/>
        </w:rPr>
        <w:t>skorzystanie z preferencyjnej stawki celnej</w:t>
      </w:r>
      <w:r w:rsidRPr="003751D0">
        <w:rPr>
          <w:rFonts w:asciiTheme="minorHAnsi" w:eastAsia="Calibri" w:hAnsiTheme="minorHAnsi" w:cstheme="minorHAnsi"/>
        </w:rPr>
        <w:t xml:space="preserve"> w imporcie, wymaga zwykle udokumentowania pochodzenia towarów zgodnie z przepisami, które znajdują się w unijnych umowach o wolnym handlu (również w ew. umowie UE z Zjednoczonym Królestwem) oraz innych unijnych uzgodnieniach preferencyjnych. </w:t>
      </w: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Po 31.12.2020 r. handel pomiędzy Unią Europejską (UE) i Zjednoczonym Królestwem (UK) będzie odbywał się na warunkach takich jak z innymi krajami trzecimi, z którymi UE nie zawarła porozumienia o preferencyjnym handlu (np. USA) lub na warunkach określonych w negocjowanej umowie o wolnym handlu.</w:t>
      </w: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lastRenderedPageBreak/>
        <w:t xml:space="preserve">Jeżeli dojdzie do zawarcia umowy to zostaną w niej określone także zasady dokumentowania preferencyjnego pochodzenia towarów Można przypuszczać, że mogą to być oświadczenia o pochodzeniu sporządzane w ramach systemu REX. </w:t>
      </w: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 xml:space="preserve">Jeżeli nie dojdzie do zawarcia umowy </w:t>
      </w:r>
      <w:r w:rsidR="009C12C8" w:rsidRPr="003751D0">
        <w:rPr>
          <w:rFonts w:asciiTheme="minorHAnsi" w:eastAsia="Calibri" w:hAnsiTheme="minorHAnsi" w:cstheme="minorHAnsi"/>
        </w:rPr>
        <w:t xml:space="preserve">handlowej między UE a </w:t>
      </w:r>
      <w:r w:rsidRPr="003751D0">
        <w:rPr>
          <w:rFonts w:asciiTheme="minorHAnsi" w:eastAsia="Calibri" w:hAnsiTheme="minorHAnsi" w:cstheme="minorHAnsi"/>
        </w:rPr>
        <w:t>Zjednoczon</w:t>
      </w:r>
      <w:r w:rsidR="009C12C8" w:rsidRPr="003751D0">
        <w:rPr>
          <w:rFonts w:asciiTheme="minorHAnsi" w:eastAsia="Calibri" w:hAnsiTheme="minorHAnsi" w:cstheme="minorHAnsi"/>
        </w:rPr>
        <w:t>ym</w:t>
      </w:r>
      <w:r w:rsidRPr="003751D0">
        <w:rPr>
          <w:rFonts w:asciiTheme="minorHAnsi" w:eastAsia="Calibri" w:hAnsiTheme="minorHAnsi" w:cstheme="minorHAnsi"/>
        </w:rPr>
        <w:t xml:space="preserve"> Królestw</w:t>
      </w:r>
      <w:r w:rsidR="009C12C8" w:rsidRPr="003751D0">
        <w:rPr>
          <w:rFonts w:asciiTheme="minorHAnsi" w:eastAsia="Calibri" w:hAnsiTheme="minorHAnsi" w:cstheme="minorHAnsi"/>
        </w:rPr>
        <w:t xml:space="preserve">em, to poza szczególnymi przypadkami, nie będą stosowane we wzajemnym handlu formalne dowody pochodzenia </w:t>
      </w:r>
      <w:r w:rsidRPr="003751D0">
        <w:rPr>
          <w:rFonts w:asciiTheme="minorHAnsi" w:eastAsia="Calibri" w:hAnsiTheme="minorHAnsi" w:cstheme="minorHAnsi"/>
        </w:rPr>
        <w:t>(za wyjątkiem Irlandii Północnej)</w:t>
      </w:r>
      <w:r w:rsidR="009C12C8" w:rsidRPr="003751D0">
        <w:rPr>
          <w:rFonts w:asciiTheme="minorHAnsi" w:eastAsia="Calibri" w:hAnsiTheme="minorHAnsi" w:cstheme="minorHAnsi"/>
        </w:rPr>
        <w:t>. Niezależnie od wyników negocjacji od 1.01.2021r.</w:t>
      </w:r>
      <w:r w:rsidRPr="003751D0">
        <w:rPr>
          <w:rFonts w:asciiTheme="minorHAnsi" w:eastAsia="Calibri" w:hAnsiTheme="minorHAnsi" w:cstheme="minorHAnsi"/>
        </w:rPr>
        <w:t xml:space="preserve"> </w:t>
      </w:r>
      <w:r w:rsidR="009C12C8" w:rsidRPr="003751D0">
        <w:rPr>
          <w:rFonts w:asciiTheme="minorHAnsi" w:eastAsia="Calibri" w:hAnsiTheme="minorHAnsi" w:cstheme="minorHAnsi"/>
        </w:rPr>
        <w:t xml:space="preserve">Zjednoczone Królestwo </w:t>
      </w:r>
      <w:r w:rsidRPr="003751D0">
        <w:rPr>
          <w:rFonts w:asciiTheme="minorHAnsi" w:eastAsia="Calibri" w:hAnsiTheme="minorHAnsi" w:cstheme="minorHAnsi"/>
        </w:rPr>
        <w:t>nie będzie już częścią obszaru celnego Unii i będzie traktowane jako kraj trzeci.</w:t>
      </w: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 xml:space="preserve">Niezależnie od wyniku negocjacji zgodnie z przepisem pkt 1 Załącznika nr 7 (Dowody potwierdzające pochodzenie towarów) do rozporządzenia Ministra Finansów w sprawie zgłoszeń celnych (tekst jednolity w Dz.U. z 4.12.2018 r. poz. 2262), jeżeli w celu dopuszczenia towaru do obrotu lub zastosowania </w:t>
      </w:r>
      <w:r w:rsidRPr="003751D0">
        <w:rPr>
          <w:rFonts w:asciiTheme="minorHAnsi" w:eastAsia="Calibri" w:hAnsiTheme="minorHAnsi" w:cstheme="minorHAnsi"/>
        </w:rPr>
        <w:lastRenderedPageBreak/>
        <w:t>preferencji taryfowych jest przedstawiane świadectwo pochodzenia tego towaru, to przedstawia się oryginał tego dokumentu.</w:t>
      </w:r>
    </w:p>
    <w:p w:rsidR="002623F0" w:rsidRPr="003751D0" w:rsidRDefault="002623F0" w:rsidP="00FB0398">
      <w:pPr>
        <w:spacing w:line="264" w:lineRule="auto"/>
        <w:contextualSpacing/>
        <w:rPr>
          <w:rFonts w:asciiTheme="minorHAnsi" w:eastAsia="Calibri" w:hAnsiTheme="minorHAnsi" w:cstheme="minorHAnsi"/>
          <w:u w:val="single"/>
        </w:rPr>
      </w:pPr>
      <w:r w:rsidRPr="003751D0">
        <w:rPr>
          <w:rFonts w:asciiTheme="minorHAnsi" w:eastAsia="Calibri" w:hAnsiTheme="minorHAnsi" w:cstheme="minorHAnsi"/>
        </w:rPr>
        <w:t xml:space="preserve">Przepis ten nie wprowadza identycznego warunku w odniesieniu do innych form dowodów pochodzenia towarów, takich jak np. deklaracje pochodzenia czy oświadczenia o pochodzeniu. Takie rozwiązanie wynika z faktu, że o ile świadectwa pochodzenia wystawiane są w formie papierowej, to faktury, jak i inne dokumenty handlowe, na których mogą być sporządzane deklaracje pochodzenia, obecnie bardzo często sporządzane są w formie elektronicznej. Wydruk takiego elektronicznego dokumentu jest zwykle nie do odróżnienia od dokumentu sporządzonego bezpośrednio w formie papierowej. </w:t>
      </w:r>
      <w:r w:rsidRPr="003751D0">
        <w:rPr>
          <w:rFonts w:asciiTheme="minorHAnsi" w:eastAsia="Calibri" w:hAnsiTheme="minorHAnsi" w:cstheme="minorHAnsi"/>
          <w:u w:val="single"/>
        </w:rPr>
        <w:t xml:space="preserve">W związku z tym deklaracje pochodzenia czy oświadczenia o pochodzeniu mogą być akceptowane jako dowody pochodzenia towarów </w:t>
      </w:r>
      <w:r w:rsidRPr="003751D0">
        <w:rPr>
          <w:rFonts w:asciiTheme="minorHAnsi" w:eastAsia="Calibri" w:hAnsiTheme="minorHAnsi" w:cstheme="minorHAnsi"/>
          <w:u w:val="single"/>
        </w:rPr>
        <w:lastRenderedPageBreak/>
        <w:t>także w sytuacji, gdy występują w innej formie niż sporządzone na oryginalnym papierowym dokumencie.</w:t>
      </w: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 xml:space="preserve">Zasadniczo zgłaszający nie są zobowiązani do przedstawiania dowodów pochodzenia sprowadzanych towarów w każdym przypadku, ale w sytuacji gdy wnioskują o ich preferencyjne traktowanie taryfowe muszą w tym momencie dysponować właściwym dowodem potwierdzającym status pochodzenia takich towarów. Fakt dysponowania takim dowodem jest potwierdzany przez zgłaszającego poprzez zadeklarowanie w zgłoszeniu celnym kodu odpowiedniego dokumentu oraz jego cech identyfikacyjnych (numer, data). Wyjątkiem jest możliwość wnioskowania o preferencyjne traktowanie taryfowe towarów pochodzących z Japonii w oparciu o tzw. „wiedzę importera”. Tym niemiej organ celny w przypadku np. wątpliwości co do pochodzenia towarów, ich kontroli fizycznej czy dokumentowej może wymagać od zgłaszającego przedstawienia </w:t>
      </w:r>
      <w:r w:rsidRPr="003751D0">
        <w:rPr>
          <w:rFonts w:asciiTheme="minorHAnsi" w:eastAsia="Calibri" w:hAnsiTheme="minorHAnsi" w:cstheme="minorHAnsi"/>
        </w:rPr>
        <w:lastRenderedPageBreak/>
        <w:t>dowodu pochodzenia</w:t>
      </w:r>
      <w:r w:rsidR="00723AD7" w:rsidRPr="003751D0">
        <w:rPr>
          <w:rFonts w:asciiTheme="minorHAnsi" w:eastAsia="Calibri" w:hAnsiTheme="minorHAnsi" w:cstheme="minorHAnsi"/>
        </w:rPr>
        <w:t>. W przypadku świadectw (FORM A</w:t>
      </w:r>
      <w:r w:rsidRPr="003751D0">
        <w:rPr>
          <w:rFonts w:asciiTheme="minorHAnsi" w:eastAsia="Calibri" w:hAnsiTheme="minorHAnsi" w:cstheme="minorHAnsi"/>
        </w:rPr>
        <w:t>, EUR.1, EUR-MED) muszą być one przedstawione w oryginale.</w:t>
      </w: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W obecnej sytuacji związanej z zagrożeniem wywołanym epidemią COVID-19, zgodnie z wytycznymi unijnymi możliwe są następujące rozwiązania:</w:t>
      </w: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 importerzy przy dopuszczaniu do obrotu przywiezionych towarów mogą skorzystać ze zgłoszenia uproszczonego i przedstawić organowi celnemu oryginał świadectwa w terminie późniejszym. Ta forma zgłoszenia wiąże się jednak z koniecznością złożenia zabezpieczenia,</w:t>
      </w: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 importerzy, którzy przy dopuszczaniu do obrotu przywiezionych towarów dysponują jedynie papierową kopią świadectwa lub jego wersją elektroniczną, mogą wnioskować o ich preferencyjne traktowanie taryfowe w oparciu o posiadane nieory</w:t>
      </w:r>
      <w:r w:rsidRPr="003751D0">
        <w:rPr>
          <w:rFonts w:asciiTheme="minorHAnsi" w:eastAsia="Calibri" w:hAnsiTheme="minorHAnsi" w:cstheme="minorHAnsi"/>
        </w:rPr>
        <w:lastRenderedPageBreak/>
        <w:t>ginalne wersje świadectwa i na żądanie organu celnego przedstawiają je w takiej formie. Do czasu zakończenia występowania zagrożenia związanego z epidemią COVID-19 taka forma świadectwa powinna być akceptowana przez organy celne. Elastyczność ta nie dotyczy jednak zawartości samego świadectwa, tzn. powinno być ono prawidłowo wypełnione, wystawione przez upoważniony do tego organ, potwierdzone właściwą pieczęcią i odręcznie podpisane. Po uzyskaniu oryginału świadectwa importer jest zobowiązany do jego dołączenia do pozostałych dokumentów dotyczących przywiezionych towarów. Organ celny będzie mógł wówczas poddać je dodatkowej kontroli i ewentualnie przekazać je do weryfikacji w kraju wywozu, jeżeli pojawią się wątpliwości co do jego autentyczności lub prawidłowości informacji w nim zawartych.</w:t>
      </w: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lastRenderedPageBreak/>
        <w:t>Powyższe ma zastosowanie także w odniesieniu do świadectw przewozowych A.TR potwierdzających status celny towarów przywożonych z Turcji.</w:t>
      </w: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Jeżeli importer przy dopuszczaniu przywiezionych towarów do obrotu nie wnioskował o ich preferencyjne traktowanie taryfowe, to może to zrobić w terminie późniejszym (do 3 lat od dnia powiadomienia o długu celnym) i złożyć wniosek o zwrot zapłaconych należności celnych przywozowych, na podstawie uzyskanego prawidłowego dowodu pochodzenia wystawionego retrospektywnie.</w:t>
      </w:r>
    </w:p>
    <w:p w:rsidR="002623F0" w:rsidRPr="003751D0" w:rsidRDefault="002623F0" w:rsidP="00FB0398">
      <w:pPr>
        <w:spacing w:line="264" w:lineRule="auto"/>
        <w:ind w:left="720"/>
        <w:contextualSpacing/>
        <w:rPr>
          <w:rFonts w:asciiTheme="minorHAnsi" w:eastAsia="Calibri" w:hAnsiTheme="minorHAnsi" w:cstheme="minorHAnsi"/>
        </w:rPr>
      </w:pPr>
    </w:p>
    <w:p w:rsidR="002623F0" w:rsidRPr="00FB0398" w:rsidRDefault="002623F0" w:rsidP="00FB0398">
      <w:pPr>
        <w:pStyle w:val="Akapitzlist"/>
        <w:numPr>
          <w:ilvl w:val="0"/>
          <w:numId w:val="3"/>
        </w:numPr>
        <w:spacing w:line="264" w:lineRule="auto"/>
        <w:rPr>
          <w:rFonts w:asciiTheme="minorHAnsi" w:eastAsia="Calibri" w:hAnsiTheme="minorHAnsi" w:cstheme="minorHAnsi"/>
          <w:b/>
        </w:rPr>
      </w:pPr>
      <w:r w:rsidRPr="00FB0398">
        <w:rPr>
          <w:rFonts w:asciiTheme="minorHAnsi" w:eastAsia="Calibri" w:hAnsiTheme="minorHAnsi" w:cstheme="minorHAnsi"/>
          <w:b/>
        </w:rPr>
        <w:t>Wydłużenie okresu uzyskania wymaganych pozwoleń.</w:t>
      </w:r>
      <w:r w:rsidR="000554CD" w:rsidRPr="00FB0398">
        <w:rPr>
          <w:rFonts w:asciiTheme="minorHAnsi" w:eastAsia="Calibri" w:hAnsiTheme="minorHAnsi" w:cstheme="minorHAnsi"/>
        </w:rPr>
        <w:t xml:space="preserve"> </w:t>
      </w:r>
      <w:r w:rsidR="000554CD" w:rsidRPr="00FB0398">
        <w:rPr>
          <w:rFonts w:asciiTheme="minorHAnsi" w:eastAsia="Calibri" w:hAnsiTheme="minorHAnsi" w:cstheme="minorHAnsi"/>
          <w:b/>
        </w:rPr>
        <w:t>Jakie pozwolenia trzeba będzie wymienić po zakończeniu okresu przejściowego</w:t>
      </w:r>
      <w:r w:rsidR="003D1FB9" w:rsidRPr="00FB0398">
        <w:rPr>
          <w:rFonts w:asciiTheme="minorHAnsi" w:eastAsia="Calibri" w:hAnsiTheme="minorHAnsi" w:cstheme="minorHAnsi"/>
          <w:b/>
        </w:rPr>
        <w:t xml:space="preserve">? </w:t>
      </w:r>
    </w:p>
    <w:p w:rsidR="003D1FB9" w:rsidRPr="003751D0" w:rsidRDefault="003D1FB9" w:rsidP="00FB0398">
      <w:pPr>
        <w:spacing w:line="264" w:lineRule="auto"/>
        <w:ind w:left="720"/>
        <w:contextualSpacing/>
        <w:rPr>
          <w:rFonts w:asciiTheme="minorHAnsi" w:eastAsia="Calibri" w:hAnsiTheme="minorHAnsi" w:cstheme="minorHAnsi"/>
          <w:b/>
        </w:rPr>
      </w:pP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lastRenderedPageBreak/>
        <w:t>W przypadku pozwoleń na złożenie zabezpieczenia generalnego lub pozwoleń na zwolnienie z obowiązku złożenia zabezpieczenia generalnego do procedury tranzytu unijnego/wspólnej procedury tranzytu w związku z zakończeniem okresu przejściowego związ</w:t>
      </w:r>
      <w:r w:rsidR="003D1FB9" w:rsidRPr="003751D0">
        <w:rPr>
          <w:rFonts w:asciiTheme="minorHAnsi" w:eastAsia="Calibri" w:hAnsiTheme="minorHAnsi" w:cstheme="minorHAnsi"/>
        </w:rPr>
        <w:t>anego z brexitem</w:t>
      </w:r>
      <w:r w:rsidRPr="003751D0">
        <w:rPr>
          <w:rFonts w:asciiTheme="minorHAnsi" w:eastAsia="Calibri" w:hAnsiTheme="minorHAnsi" w:cstheme="minorHAnsi"/>
        </w:rPr>
        <w:t>, uprzejmie wyjaśniamy, że pozwolenia z dniem 1 stycznia 2021 r. pozostają ważne na obszar</w:t>
      </w:r>
      <w:r w:rsidR="003D1FB9" w:rsidRPr="003751D0">
        <w:rPr>
          <w:rFonts w:asciiTheme="minorHAnsi" w:eastAsia="Calibri" w:hAnsiTheme="minorHAnsi" w:cstheme="minorHAnsi"/>
        </w:rPr>
        <w:t>ze</w:t>
      </w:r>
      <w:r w:rsidRPr="003751D0">
        <w:rPr>
          <w:rFonts w:asciiTheme="minorHAnsi" w:eastAsia="Calibri" w:hAnsiTheme="minorHAnsi" w:cstheme="minorHAnsi"/>
        </w:rPr>
        <w:t xml:space="preserve"> Zjednoczonego Królestwa. Jednakże, jeżeli posiadacz pozwolenia będzie chciał, aby pozwolenie obejmowało obszar Zjednoczonego Królestwa, powinien złożyć wniosek o zmianę pozwolenia w Systemie Decyzji Celnych (Customs Decisions System – CDS) ze wskazaniem Zjednoczonego Królestwa jako strony Konwencji o WPT. Z uwagi na to, iż odpowiednie zmiany w systemie CDS zostaną udostępnione dopiero z dniem 1 stycznia 2021 r., złożenie takiego wniosku będzie możliwe dopiero po tej dacie. </w:t>
      </w:r>
      <w:r w:rsidRPr="003751D0">
        <w:rPr>
          <w:rFonts w:asciiTheme="minorHAnsi" w:eastAsia="Calibri" w:hAnsiTheme="minorHAnsi" w:cstheme="minorHAnsi"/>
          <w:u w:val="single"/>
        </w:rPr>
        <w:t xml:space="preserve">Przedmiotowe wnioski </w:t>
      </w:r>
      <w:r w:rsidRPr="003751D0">
        <w:rPr>
          <w:rFonts w:asciiTheme="minorHAnsi" w:eastAsia="Calibri" w:hAnsiTheme="minorHAnsi" w:cstheme="minorHAnsi"/>
          <w:u w:val="single"/>
        </w:rPr>
        <w:lastRenderedPageBreak/>
        <w:t>powinny zostać złożone, za pomocą unijnego portalu dla przedsiębiorców (Trader Portal - TP), niezwłocznie po tym terminie, ale nie później niż do dnia 31 marca 2021 r.</w:t>
      </w:r>
      <w:r w:rsidRPr="003751D0">
        <w:rPr>
          <w:rFonts w:asciiTheme="minorHAnsi" w:eastAsia="Calibri" w:hAnsiTheme="minorHAnsi" w:cstheme="minorHAnsi"/>
        </w:rPr>
        <w:t xml:space="preserve"> Informacje o systemie CDS oraz</w:t>
      </w:r>
      <w:r w:rsidR="003D1FB9" w:rsidRPr="003751D0">
        <w:rPr>
          <w:rFonts w:asciiTheme="minorHAnsi" w:eastAsia="Calibri" w:hAnsiTheme="minorHAnsi" w:cstheme="minorHAnsi"/>
        </w:rPr>
        <w:t xml:space="preserve"> o dostępie do TP znajdują się </w:t>
      </w:r>
      <w:r w:rsidRPr="003751D0">
        <w:rPr>
          <w:rFonts w:asciiTheme="minorHAnsi" w:eastAsia="Calibri" w:hAnsiTheme="minorHAnsi" w:cstheme="minorHAnsi"/>
        </w:rPr>
        <w:t>na portalu PUESC - Katalog e-Usług – CDS .</w:t>
      </w: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Jeżeli do pozwolenia złożone zostało zobowiązanie gwaranta, konieczne będzie dostarczenie odpowiedniego aneksu z wpisanym Zjednoczonym Królestwem w grupie krajów stron Konwencji o WPT.</w:t>
      </w: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Ponadto przed upływem jednego roku od przystąpienia Zjednoczonego Królestwa do Konwencji o WPT, każdy posiadacz pozwolenia na złożenie zabezpieczenia generalnego do procedury tranzytu unijnego/wspólnej procedury tranzytu powinien złożyć zobowiązanie gwaranta zgodne z obowiązującym wzorem, nawet jeśli pozwolenie nie będzie obejmowało obszaru Zjednoczonego Królestwa.</w:t>
      </w:r>
    </w:p>
    <w:p w:rsidR="002623F0" w:rsidRPr="003751D0" w:rsidRDefault="002623F0" w:rsidP="00FB0398">
      <w:pPr>
        <w:spacing w:line="264" w:lineRule="auto"/>
        <w:ind w:left="720"/>
        <w:contextualSpacing/>
        <w:rPr>
          <w:rFonts w:asciiTheme="minorHAnsi" w:eastAsia="Calibri" w:hAnsiTheme="minorHAnsi" w:cstheme="minorHAnsi"/>
          <w:highlight w:val="yellow"/>
        </w:rPr>
      </w:pPr>
    </w:p>
    <w:p w:rsidR="003D1FB9" w:rsidRPr="00FB0398" w:rsidRDefault="003D1FB9" w:rsidP="00FB0398">
      <w:pPr>
        <w:pStyle w:val="Akapitzlist"/>
        <w:numPr>
          <w:ilvl w:val="0"/>
          <w:numId w:val="3"/>
        </w:numPr>
        <w:spacing w:line="264" w:lineRule="auto"/>
        <w:rPr>
          <w:rFonts w:asciiTheme="minorHAnsi" w:eastAsia="Calibri" w:hAnsiTheme="minorHAnsi" w:cstheme="minorHAnsi"/>
          <w:b/>
        </w:rPr>
      </w:pPr>
      <w:r w:rsidRPr="00FB0398">
        <w:rPr>
          <w:rFonts w:asciiTheme="minorHAnsi" w:eastAsia="Calibri" w:hAnsiTheme="minorHAnsi" w:cstheme="minorHAnsi"/>
          <w:b/>
        </w:rPr>
        <w:t>Jakie są wytyczne odnośnie towarów powracających?</w:t>
      </w:r>
      <w:r w:rsidR="002623F0" w:rsidRPr="00FB0398">
        <w:rPr>
          <w:rFonts w:asciiTheme="minorHAnsi" w:eastAsia="Calibri" w:hAnsiTheme="minorHAnsi" w:cstheme="minorHAnsi"/>
          <w:b/>
        </w:rPr>
        <w:t xml:space="preserve"> </w:t>
      </w:r>
    </w:p>
    <w:p w:rsidR="002623F0" w:rsidRPr="003751D0" w:rsidRDefault="002623F0" w:rsidP="00FB0398">
      <w:pPr>
        <w:spacing w:line="264" w:lineRule="auto"/>
        <w:ind w:left="720"/>
        <w:contextualSpacing/>
        <w:rPr>
          <w:rFonts w:asciiTheme="minorHAnsi" w:eastAsia="Calibri" w:hAnsiTheme="minorHAnsi" w:cstheme="minorHAnsi"/>
          <w:b/>
        </w:rPr>
      </w:pPr>
    </w:p>
    <w:p w:rsidR="002623F0" w:rsidRPr="003751D0" w:rsidRDefault="002623F0" w:rsidP="00FB0398">
      <w:pPr>
        <w:spacing w:after="200" w:line="276" w:lineRule="auto"/>
        <w:rPr>
          <w:rFonts w:asciiTheme="minorHAnsi" w:eastAsia="Calibri" w:hAnsiTheme="minorHAnsi" w:cstheme="minorHAnsi"/>
        </w:rPr>
      </w:pPr>
      <w:r w:rsidRPr="003751D0">
        <w:rPr>
          <w:rFonts w:asciiTheme="minorHAnsi" w:eastAsia="Calibri" w:hAnsiTheme="minorHAnsi" w:cstheme="minorHAnsi"/>
        </w:rPr>
        <w:t xml:space="preserve">Jeżeli towary unijne zostały </w:t>
      </w:r>
      <w:r w:rsidRPr="003751D0">
        <w:rPr>
          <w:rFonts w:asciiTheme="minorHAnsi" w:eastAsia="Calibri" w:hAnsiTheme="minorHAnsi" w:cstheme="minorHAnsi"/>
          <w:u w:val="single"/>
        </w:rPr>
        <w:t>czasowo wywiezione ze Zjednoczonego Królestwa</w:t>
      </w:r>
      <w:r w:rsidRPr="003751D0">
        <w:rPr>
          <w:rFonts w:asciiTheme="minorHAnsi" w:eastAsia="Calibri" w:hAnsiTheme="minorHAnsi" w:cstheme="minorHAnsi"/>
        </w:rPr>
        <w:t xml:space="preserve"> do państwa trzeciego w okresie przejściowym (albo wcześniej), a po 31 grudnia br. zostaną z państwa trzeciego przywiezione do Unii po zakończeniu tego okresu zgodnie z warunkami określonymi w art. 203 UKC, towary te będą uznane za towary powracające i w związku z tym ich przywóz będzie odbywał się z całkowitym zwolnieniem z należności celnych przywozowych.</w:t>
      </w: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 xml:space="preserve">Zgłaszający musi udostępnić organowi celnemu informacje, z których wynika, że warunki zwolnienia z należności celnych przywozowych zostały spełnione. Informacje takie mogą być </w:t>
      </w:r>
      <w:r w:rsidRPr="003751D0">
        <w:rPr>
          <w:rFonts w:asciiTheme="minorHAnsi" w:eastAsia="Calibri" w:hAnsiTheme="minorHAnsi" w:cstheme="minorHAnsi"/>
        </w:rPr>
        <w:lastRenderedPageBreak/>
        <w:t xml:space="preserve">przedstawione w jeden ze sposobów, o których mowa w art. 253 ust. 2 rozporządzenia wykonawczego, tj.: </w:t>
      </w: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 poprzez udostępnienie odpowiednich danych zawartych w zgłoszeniu celnym, na podstawie którego towar powracający został pierwotnie wywieziony z obszaru celnego UE;</w:t>
      </w: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 za pomocą wydruku, uwierzytelnionego przez właściwy organ celny, zgłoszenia celnego na podstawie którego towar powracający został pierwotnie wywieziony z obszaru celnego UE;</w:t>
      </w: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 za pomocą dokumentu wydanego przez właściwy organ celny, zawierającego istotne dane zawarte w danym zgłoszeniu celnym;</w:t>
      </w: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 za pomocą dokumentu wydanego przez właściwy organ celny, poświadczającego, że warunki zwolnienia z należności celnych przywozowych zostały spełnione (arkusz informacyjny INF3).</w:t>
      </w:r>
    </w:p>
    <w:p w:rsidR="002623F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lastRenderedPageBreak/>
        <w:t>Jeżeli z informacji dostępnych właściwym organom celnym wynika, że towary zgłaszane do dopuszczenia do obrotu są towarami, które zostały pierwotnie wywiezione poza obszar celny Unii, i że w chwili wywozu spełniały warunki wymagane do ich zwolnienia z należności celnych przywozowych jako towary powracające, to informacje, o których mowa wyżej, nie są wymagane.</w:t>
      </w:r>
    </w:p>
    <w:p w:rsidR="00FB0398" w:rsidRDefault="00FB0398" w:rsidP="00FB0398">
      <w:pPr>
        <w:spacing w:line="264" w:lineRule="auto"/>
        <w:contextualSpacing/>
        <w:rPr>
          <w:rFonts w:asciiTheme="minorHAnsi" w:eastAsia="Calibri" w:hAnsiTheme="minorHAnsi" w:cstheme="minorHAnsi"/>
        </w:rPr>
      </w:pP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 xml:space="preserve">Jeżeli towary unijne zostaną </w:t>
      </w:r>
      <w:r w:rsidRPr="003751D0">
        <w:rPr>
          <w:rFonts w:asciiTheme="minorHAnsi" w:eastAsia="Calibri" w:hAnsiTheme="minorHAnsi" w:cstheme="minorHAnsi"/>
          <w:u w:val="single"/>
        </w:rPr>
        <w:t>przywiezione z Unii do Zjednoczonego Królestwa</w:t>
      </w:r>
      <w:r w:rsidRPr="003751D0">
        <w:rPr>
          <w:rFonts w:asciiTheme="minorHAnsi" w:eastAsia="Calibri" w:hAnsiTheme="minorHAnsi" w:cstheme="minorHAnsi"/>
        </w:rPr>
        <w:t xml:space="preserve"> przed zakończeniem okresu przejściowego i jeżeli towary takie będą przywożone powrotnie do Unii po zakończeniu tego okresu, przepisy dotyczące towarów powracających, o których mowa w art. 203 UKC, mają zastosowanie, jeżeli zgłaszający przedstawi dowody na to, że towary unijne:</w:t>
      </w: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lastRenderedPageBreak/>
        <w:t>– zostały przywiezione do Zjednoczonego Królestwa przed zakończeniem okresu przejściowego, oraz</w:t>
      </w: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 powracają w niezmienionym stanie, zgodnie z art. 203 ust. 5 UKC i at. 158 rozporządzenia delegowanego.</w:t>
      </w: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Zakończenie okresu przejściowego nie może jednak zostać wykorzystane jako szczególne okoliczności, które uzasadniałyby przekroczenie trzyletniego terminu, o którym mowa w art. 203 ust. 1 UKC.</w:t>
      </w: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Dowodem potwierdzającym, że towary unijne zostały przywiezione do Zjednoczonego Królestwa przed zakończeniem okresu przejściowego, powinien być w szczególności odpowiedni dokument przewozowy wraz z dołączonymi, w razie potrzeby, innymi dokumentami.</w:t>
      </w: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t>W stosownych przypadkach wymagane może być potwierdzenie, że towary przywożone są w takim stanie, w jakim zostały wywiezione (ich stan nie uległ zmianie).</w:t>
      </w:r>
    </w:p>
    <w:p w:rsidR="002623F0" w:rsidRPr="003751D0" w:rsidRDefault="002623F0" w:rsidP="00FB0398">
      <w:pPr>
        <w:spacing w:line="264" w:lineRule="auto"/>
        <w:contextualSpacing/>
        <w:rPr>
          <w:rFonts w:asciiTheme="minorHAnsi" w:eastAsia="Calibri" w:hAnsiTheme="minorHAnsi" w:cstheme="minorHAnsi"/>
        </w:rPr>
      </w:pPr>
      <w:r w:rsidRPr="003751D0">
        <w:rPr>
          <w:rFonts w:asciiTheme="minorHAnsi" w:eastAsia="Calibri" w:hAnsiTheme="minorHAnsi" w:cstheme="minorHAnsi"/>
        </w:rPr>
        <w:lastRenderedPageBreak/>
        <w:t>Nie jest możliwe określenie wyczerpującego katalogu dokumentów, które mogą świadczyć, że towary takie mogą zostać uznane za powracające.</w:t>
      </w:r>
    </w:p>
    <w:p w:rsidR="00525BA2" w:rsidRPr="003751D0" w:rsidRDefault="00FB0398" w:rsidP="00FB0398">
      <w:pPr>
        <w:widowControl w:val="0"/>
        <w:autoSpaceDE w:val="0"/>
        <w:autoSpaceDN w:val="0"/>
        <w:adjustRightInd w:val="0"/>
        <w:spacing w:after="280" w:line="280" w:lineRule="atLeast"/>
        <w:rPr>
          <w:rFonts w:asciiTheme="minorHAnsi" w:hAnsiTheme="minorHAnsi" w:cstheme="minorHAnsi"/>
        </w:rPr>
      </w:pPr>
    </w:p>
    <w:sectPr w:rsidR="00525BA2" w:rsidRPr="003751D0" w:rsidSect="003751D0">
      <w:footerReference w:type="default" r:id="rId9"/>
      <w:footerReference w:type="first" r:id="rId10"/>
      <w:pgSz w:w="11900" w:h="16840"/>
      <w:pgMar w:top="1440" w:right="1080" w:bottom="1440" w:left="1080"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616" w:rsidRDefault="00AF2616">
      <w:r>
        <w:separator/>
      </w:r>
    </w:p>
  </w:endnote>
  <w:endnote w:type="continuationSeparator" w:id="0">
    <w:p w:rsidR="00AF2616" w:rsidRDefault="00AF2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2900188"/>
      <w:docPartObj>
        <w:docPartGallery w:val="Page Numbers (Bottom of Page)"/>
        <w:docPartUnique/>
      </w:docPartObj>
    </w:sdtPr>
    <w:sdtEndPr/>
    <w:sdtContent>
      <w:p w:rsidR="002623F0" w:rsidRDefault="002623F0">
        <w:pPr>
          <w:pStyle w:val="Stopka"/>
          <w:jc w:val="center"/>
        </w:pPr>
        <w:r>
          <w:fldChar w:fldCharType="begin"/>
        </w:r>
        <w:r>
          <w:instrText>PAGE   \* MERGEFORMAT</w:instrText>
        </w:r>
        <w:r>
          <w:fldChar w:fldCharType="separate"/>
        </w:r>
        <w:r w:rsidR="00FB0398">
          <w:rPr>
            <w:noProof/>
          </w:rPr>
          <w:t>10</w:t>
        </w:r>
        <w:r>
          <w:fldChar w:fldCharType="end"/>
        </w:r>
      </w:p>
    </w:sdtContent>
  </w:sdt>
  <w:p w:rsidR="00C94A80" w:rsidRDefault="00FB039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1122038"/>
      <w:docPartObj>
        <w:docPartGallery w:val="Page Numbers (Bottom of Page)"/>
        <w:docPartUnique/>
      </w:docPartObj>
    </w:sdtPr>
    <w:sdtEndPr/>
    <w:sdtContent>
      <w:p w:rsidR="002623F0" w:rsidRDefault="002623F0">
        <w:pPr>
          <w:pStyle w:val="Stopka"/>
          <w:jc w:val="center"/>
        </w:pPr>
        <w:r>
          <w:fldChar w:fldCharType="begin"/>
        </w:r>
        <w:r>
          <w:instrText>PAGE   \* MERGEFORMAT</w:instrText>
        </w:r>
        <w:r>
          <w:fldChar w:fldCharType="separate"/>
        </w:r>
        <w:r w:rsidR="00FB0398">
          <w:rPr>
            <w:noProof/>
          </w:rPr>
          <w:t>1</w:t>
        </w:r>
        <w:r>
          <w:fldChar w:fldCharType="end"/>
        </w:r>
      </w:p>
    </w:sdtContent>
  </w:sdt>
  <w:p w:rsidR="003B094D" w:rsidRDefault="00FB039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616" w:rsidRDefault="00AF2616">
      <w:r>
        <w:separator/>
      </w:r>
    </w:p>
  </w:footnote>
  <w:footnote w:type="continuationSeparator" w:id="0">
    <w:p w:rsidR="00AF2616" w:rsidRDefault="00AF26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C06D9"/>
    <w:multiLevelType w:val="hybridMultilevel"/>
    <w:tmpl w:val="A65EED38"/>
    <w:lvl w:ilvl="0" w:tplc="04150017">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 w15:restartNumberingAfterBreak="0">
    <w:nsid w:val="56B10A8D"/>
    <w:multiLevelType w:val="hybridMultilevel"/>
    <w:tmpl w:val="DD7EB474"/>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5C796793"/>
    <w:multiLevelType w:val="hybridMultilevel"/>
    <w:tmpl w:val="A4B05B72"/>
    <w:lvl w:ilvl="0" w:tplc="265622E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19"/>
  <w:drawingGridVerticalSpacing w:val="357"/>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3F0"/>
    <w:rsid w:val="000554CD"/>
    <w:rsid w:val="00076471"/>
    <w:rsid w:val="00192983"/>
    <w:rsid w:val="00197236"/>
    <w:rsid w:val="00201177"/>
    <w:rsid w:val="00212C41"/>
    <w:rsid w:val="002623F0"/>
    <w:rsid w:val="00295740"/>
    <w:rsid w:val="002C4127"/>
    <w:rsid w:val="003751D0"/>
    <w:rsid w:val="003D1FB9"/>
    <w:rsid w:val="0048151A"/>
    <w:rsid w:val="005A7137"/>
    <w:rsid w:val="005B606E"/>
    <w:rsid w:val="005F4424"/>
    <w:rsid w:val="0064492B"/>
    <w:rsid w:val="006B10F3"/>
    <w:rsid w:val="00723AD7"/>
    <w:rsid w:val="009622FF"/>
    <w:rsid w:val="009C12C8"/>
    <w:rsid w:val="00A10107"/>
    <w:rsid w:val="00AB38DC"/>
    <w:rsid w:val="00AF2616"/>
    <w:rsid w:val="00B51A5C"/>
    <w:rsid w:val="00B77005"/>
    <w:rsid w:val="00C10779"/>
    <w:rsid w:val="00C153B6"/>
    <w:rsid w:val="00C94100"/>
    <w:rsid w:val="00D522C8"/>
    <w:rsid w:val="00D56288"/>
    <w:rsid w:val="00D96D80"/>
    <w:rsid w:val="00DE4A03"/>
    <w:rsid w:val="00E01274"/>
    <w:rsid w:val="00E20C1B"/>
    <w:rsid w:val="00E243F9"/>
    <w:rsid w:val="00EE7D42"/>
    <w:rsid w:val="00F0071A"/>
    <w:rsid w:val="00F94722"/>
    <w:rsid w:val="00FB0398"/>
  </w:rsids>
  <m:mathPr>
    <m:mathFont m:val="Cambria Math"/>
    <m:brkBin m:val="before"/>
    <m:brkBinSub m:val="--"/>
    <m:smallFrac m:val="0"/>
    <m:dispDef m:val="0"/>
    <m:lMargin m:val="0"/>
    <m:rMargin m:val="0"/>
    <m:defJc m:val="centerGroup"/>
    <m:wrapRight/>
    <m:intLim m:val="subSup"/>
    <m:naryLim m:val="subSup"/>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3197946-E210-496F-A761-669D08952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ny">
    <w:name w:val="Normal"/>
    <w:qFormat/>
    <w:rsid w:val="0037296E"/>
    <w:rPr>
      <w:sz w:val="24"/>
      <w:szCs w:val="24"/>
      <w:lang w:eastAsia="en-US"/>
    </w:rPr>
  </w:style>
  <w:style w:type="paragraph" w:styleId="Nagwek1">
    <w:name w:val="heading 1"/>
    <w:basedOn w:val="Normalny"/>
    <w:next w:val="Normalny"/>
    <w:link w:val="Nagwek1Znak"/>
    <w:uiPriority w:val="9"/>
    <w:qFormat/>
    <w:rsid w:val="003751D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03EC"/>
    <w:pPr>
      <w:tabs>
        <w:tab w:val="center" w:pos="4320"/>
        <w:tab w:val="right" w:pos="8640"/>
      </w:tabs>
    </w:pPr>
  </w:style>
  <w:style w:type="character" w:customStyle="1" w:styleId="NagwekZnak">
    <w:name w:val="Nagłówek Znak"/>
    <w:basedOn w:val="Domylnaczcionkaakapitu"/>
    <w:link w:val="Nagwek"/>
    <w:uiPriority w:val="99"/>
    <w:rsid w:val="00E203EC"/>
  </w:style>
  <w:style w:type="paragraph" w:styleId="Stopka">
    <w:name w:val="footer"/>
    <w:basedOn w:val="Normalny"/>
    <w:link w:val="StopkaZnak"/>
    <w:uiPriority w:val="99"/>
    <w:unhideWhenUsed/>
    <w:rsid w:val="00E203EC"/>
    <w:pPr>
      <w:tabs>
        <w:tab w:val="center" w:pos="4320"/>
        <w:tab w:val="right" w:pos="8640"/>
      </w:tabs>
    </w:pPr>
  </w:style>
  <w:style w:type="character" w:customStyle="1" w:styleId="StopkaZnak">
    <w:name w:val="Stopka Znak"/>
    <w:basedOn w:val="Domylnaczcionkaakapitu"/>
    <w:link w:val="Stopka"/>
    <w:uiPriority w:val="99"/>
    <w:rsid w:val="00E203EC"/>
  </w:style>
  <w:style w:type="paragraph" w:styleId="Tekstdymka">
    <w:name w:val="Balloon Text"/>
    <w:basedOn w:val="Normalny"/>
    <w:link w:val="TekstdymkaZnak"/>
    <w:uiPriority w:val="99"/>
    <w:semiHidden/>
    <w:unhideWhenUsed/>
    <w:rsid w:val="00FF097E"/>
    <w:rPr>
      <w:rFonts w:ascii="Tahoma" w:hAnsi="Tahoma" w:cs="Tahoma"/>
      <w:sz w:val="16"/>
      <w:szCs w:val="16"/>
    </w:rPr>
  </w:style>
  <w:style w:type="character" w:customStyle="1" w:styleId="TekstdymkaZnak">
    <w:name w:val="Tekst dymka Znak"/>
    <w:basedOn w:val="Domylnaczcionkaakapitu"/>
    <w:link w:val="Tekstdymka"/>
    <w:uiPriority w:val="99"/>
    <w:semiHidden/>
    <w:rsid w:val="00FF097E"/>
    <w:rPr>
      <w:rFonts w:ascii="Tahoma" w:hAnsi="Tahoma" w:cs="Tahoma"/>
      <w:sz w:val="16"/>
      <w:szCs w:val="16"/>
    </w:rPr>
  </w:style>
  <w:style w:type="character" w:styleId="Hipercze">
    <w:name w:val="Hyperlink"/>
    <w:basedOn w:val="Domylnaczcionkaakapitu"/>
    <w:uiPriority w:val="99"/>
    <w:unhideWhenUsed/>
    <w:rsid w:val="00EF3BAE"/>
    <w:rPr>
      <w:color w:val="0000FF"/>
      <w:u w:val="single"/>
    </w:rPr>
  </w:style>
  <w:style w:type="character" w:styleId="UyteHipercze">
    <w:name w:val="FollowedHyperlink"/>
    <w:basedOn w:val="Domylnaczcionkaakapitu"/>
    <w:uiPriority w:val="99"/>
    <w:semiHidden/>
    <w:unhideWhenUsed/>
    <w:rsid w:val="005F4424"/>
    <w:rPr>
      <w:color w:val="800080" w:themeColor="followedHyperlink"/>
      <w:u w:val="single"/>
    </w:rPr>
  </w:style>
  <w:style w:type="character" w:customStyle="1" w:styleId="Nagwek1Znak">
    <w:name w:val="Nagłówek 1 Znak"/>
    <w:basedOn w:val="Domylnaczcionkaakapitu"/>
    <w:link w:val="Nagwek1"/>
    <w:uiPriority w:val="9"/>
    <w:rsid w:val="003751D0"/>
    <w:rPr>
      <w:rFonts w:asciiTheme="majorHAnsi" w:eastAsiaTheme="majorEastAsia" w:hAnsiTheme="majorHAnsi" w:cstheme="majorBidi"/>
      <w:color w:val="365F91" w:themeColor="accent1" w:themeShade="BF"/>
      <w:sz w:val="32"/>
      <w:szCs w:val="32"/>
      <w:lang w:eastAsia="en-US"/>
    </w:rPr>
  </w:style>
  <w:style w:type="paragraph" w:styleId="Akapitzlist">
    <w:name w:val="List Paragraph"/>
    <w:basedOn w:val="Normalny"/>
    <w:uiPriority w:val="72"/>
    <w:qFormat/>
    <w:rsid w:val="003751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puesc.gov.pl/web/puesc/eo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AJAD\EZD%20TECH\szablony%20serwer\Nowe%20KAS\KAS%20P13.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08ED0-115A-4320-AFD1-297BCE7D4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KAS P13</Template>
  <TotalTime>39</TotalTime>
  <Pages>10</Pages>
  <Words>3827</Words>
  <Characters>24813</Characters>
  <Application>Microsoft Office Word</Application>
  <DocSecurity>0</DocSecurity>
  <Lines>206</Lines>
  <Paragraphs>57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LinksUpToDate>false</LinksUpToDate>
  <CharactersWithSpaces>28583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3</cp:revision>
  <dcterms:created xsi:type="dcterms:W3CDTF">2020-12-08T10:47:00Z</dcterms:created>
  <dcterms:modified xsi:type="dcterms:W3CDTF">2020-12-08T11:26:00Z</dcterms:modified>
</cp:coreProperties>
</file>