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61" w:rsidRPr="00435661" w:rsidRDefault="00342831" w:rsidP="004356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Podstawowe i</w:t>
      </w:r>
      <w:r w:rsidR="00435661" w:rsidRPr="00435661">
        <w:rPr>
          <w:rFonts w:ascii="Times New Roman" w:hAnsi="Times New Roman" w:cs="Times New Roman"/>
          <w:b/>
          <w:sz w:val="24"/>
          <w:szCs w:val="24"/>
        </w:rPr>
        <w:t xml:space="preserve">nformacje o tzw. </w:t>
      </w:r>
      <w:bookmarkStart w:id="0" w:name="_GoBack"/>
      <w:r w:rsidR="00435661" w:rsidRPr="00435661">
        <w:rPr>
          <w:rFonts w:ascii="Times New Roman" w:hAnsi="Times New Roman" w:cs="Times New Roman"/>
          <w:b/>
          <w:sz w:val="24"/>
          <w:szCs w:val="24"/>
        </w:rPr>
        <w:t>mieniu przesiedlenia dla osób przenoszącyc</w:t>
      </w:r>
      <w:r w:rsidR="009E7B9B">
        <w:rPr>
          <w:rFonts w:ascii="Times New Roman" w:hAnsi="Times New Roman" w:cs="Times New Roman"/>
          <w:b/>
          <w:sz w:val="24"/>
          <w:szCs w:val="24"/>
        </w:rPr>
        <w:t>h swoje miejsce zamieszkania z W</w:t>
      </w:r>
      <w:r w:rsidR="00435661" w:rsidRPr="00435661">
        <w:rPr>
          <w:rFonts w:ascii="Times New Roman" w:hAnsi="Times New Roman" w:cs="Times New Roman"/>
          <w:b/>
          <w:sz w:val="24"/>
          <w:szCs w:val="24"/>
        </w:rPr>
        <w:t xml:space="preserve">ielkiej Brytanii do Polski </w:t>
      </w:r>
      <w:r w:rsidR="00164F92">
        <w:rPr>
          <w:rFonts w:ascii="Times New Roman" w:hAnsi="Times New Roman" w:cs="Times New Roman"/>
          <w:b/>
          <w:sz w:val="24"/>
          <w:szCs w:val="24"/>
        </w:rPr>
        <w:t>od 1 stycznia 2021 r.</w:t>
      </w:r>
    </w:p>
    <w:bookmarkEnd w:id="0"/>
    <w:p w:rsidR="00435661" w:rsidRPr="00435661" w:rsidRDefault="00435661" w:rsidP="004356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661" w:rsidRPr="00435661" w:rsidRDefault="00435661" w:rsidP="00435661">
      <w:pPr>
        <w:jc w:val="both"/>
        <w:rPr>
          <w:rFonts w:ascii="Times New Roman" w:hAnsi="Times New Roman" w:cs="Times New Roman"/>
          <w:sz w:val="24"/>
          <w:szCs w:val="24"/>
        </w:rPr>
      </w:pPr>
      <w:r w:rsidRPr="00435661">
        <w:rPr>
          <w:rFonts w:ascii="Times New Roman" w:hAnsi="Times New Roman" w:cs="Times New Roman"/>
          <w:sz w:val="24"/>
          <w:szCs w:val="24"/>
        </w:rPr>
        <w:t>W przypadku mienia osobistego przywożonego przez osoby prze</w:t>
      </w:r>
      <w:r>
        <w:rPr>
          <w:rFonts w:ascii="Times New Roman" w:hAnsi="Times New Roman" w:cs="Times New Roman"/>
          <w:sz w:val="24"/>
          <w:szCs w:val="24"/>
        </w:rPr>
        <w:t>nos</w:t>
      </w:r>
      <w:r w:rsidRPr="00435661">
        <w:rPr>
          <w:rFonts w:ascii="Times New Roman" w:hAnsi="Times New Roman" w:cs="Times New Roman"/>
          <w:sz w:val="24"/>
          <w:szCs w:val="24"/>
        </w:rPr>
        <w:t>zące swoj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5661">
        <w:rPr>
          <w:rFonts w:ascii="Times New Roman" w:hAnsi="Times New Roman" w:cs="Times New Roman"/>
          <w:sz w:val="24"/>
          <w:szCs w:val="24"/>
        </w:rPr>
        <w:t xml:space="preserve"> miejsce zamieszkania z Wielkiej Brytanii do Polski </w:t>
      </w:r>
      <w:r w:rsidR="00164F92">
        <w:rPr>
          <w:rFonts w:ascii="Times New Roman" w:hAnsi="Times New Roman" w:cs="Times New Roman"/>
          <w:sz w:val="24"/>
          <w:szCs w:val="24"/>
        </w:rPr>
        <w:t xml:space="preserve">od 1 stycznia 20121 r. </w:t>
      </w:r>
      <w:r w:rsidRPr="00435661">
        <w:rPr>
          <w:rFonts w:ascii="Times New Roman" w:hAnsi="Times New Roman" w:cs="Times New Roman"/>
          <w:sz w:val="24"/>
          <w:szCs w:val="24"/>
        </w:rPr>
        <w:t xml:space="preserve">zastosowanie będą miały przepisy rozporządzenia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35661">
        <w:rPr>
          <w:rFonts w:ascii="Times New Roman" w:hAnsi="Times New Roman" w:cs="Times New Roman"/>
          <w:sz w:val="24"/>
          <w:szCs w:val="24"/>
        </w:rPr>
        <w:t>ady (WE) nr 118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5661">
        <w:rPr>
          <w:rFonts w:ascii="Times New Roman" w:hAnsi="Times New Roman" w:cs="Times New Roman"/>
          <w:sz w:val="24"/>
          <w:szCs w:val="24"/>
        </w:rPr>
        <w:t xml:space="preserve">/2009  </w:t>
      </w:r>
      <w:r w:rsidR="009E7B9B">
        <w:rPr>
          <w:rFonts w:ascii="Times New Roman" w:hAnsi="Times New Roman" w:cs="Times New Roman"/>
          <w:sz w:val="24"/>
          <w:szCs w:val="24"/>
        </w:rPr>
        <w:t xml:space="preserve">z dnia 16 listopada 2009 r. </w:t>
      </w:r>
      <w:r w:rsidR="00A673D2">
        <w:rPr>
          <w:rFonts w:ascii="Times New Roman" w:hAnsi="Times New Roman" w:cs="Times New Roman"/>
          <w:sz w:val="24"/>
          <w:szCs w:val="24"/>
        </w:rPr>
        <w:t xml:space="preserve">ustanawiającego wspólnotowy system zwolnień celnych </w:t>
      </w:r>
      <w:r w:rsidRPr="00435661">
        <w:rPr>
          <w:rFonts w:ascii="Times New Roman" w:hAnsi="Times New Roman" w:cs="Times New Roman"/>
          <w:sz w:val="24"/>
          <w:szCs w:val="24"/>
        </w:rPr>
        <w:t xml:space="preserve">- art. </w:t>
      </w:r>
      <w:r w:rsidR="00A673D2">
        <w:rPr>
          <w:rFonts w:ascii="Times New Roman" w:hAnsi="Times New Roman" w:cs="Times New Roman"/>
          <w:sz w:val="24"/>
          <w:szCs w:val="24"/>
        </w:rPr>
        <w:t xml:space="preserve">od </w:t>
      </w:r>
      <w:r w:rsidRPr="00435661">
        <w:rPr>
          <w:rFonts w:ascii="Times New Roman" w:hAnsi="Times New Roman" w:cs="Times New Roman"/>
          <w:sz w:val="24"/>
          <w:szCs w:val="24"/>
        </w:rPr>
        <w:t xml:space="preserve">3 </w:t>
      </w:r>
      <w:r w:rsidR="00A673D2">
        <w:rPr>
          <w:rFonts w:ascii="Times New Roman" w:hAnsi="Times New Roman" w:cs="Times New Roman"/>
          <w:sz w:val="24"/>
          <w:szCs w:val="24"/>
        </w:rPr>
        <w:t>do</w:t>
      </w:r>
      <w:r w:rsidRPr="00435661">
        <w:rPr>
          <w:rFonts w:ascii="Times New Roman" w:hAnsi="Times New Roman" w:cs="Times New Roman"/>
          <w:sz w:val="24"/>
          <w:szCs w:val="24"/>
        </w:rPr>
        <w:t xml:space="preserve"> 11 tego rozporządzenia.</w:t>
      </w:r>
    </w:p>
    <w:p w:rsidR="009E7B9B" w:rsidRPr="009E7B9B" w:rsidRDefault="009E7B9B" w:rsidP="009E7B9B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B9B">
        <w:rPr>
          <w:rFonts w:ascii="Times New Roman" w:eastAsia="Times New Roman" w:hAnsi="Times New Roman"/>
          <w:sz w:val="24"/>
          <w:szCs w:val="24"/>
          <w:lang w:eastAsia="pl-PL"/>
        </w:rPr>
        <w:t>Na podstawie tych przepisów zwolnione z należności celnych przywozowych jest mienie osobiste przywożone przez osoby fizyczne, przenoszące swoje miejsce zamieszkania z państwa trzeciego na obszar celny Unii Europejskiej.</w:t>
      </w:r>
    </w:p>
    <w:p w:rsidR="009E7B9B" w:rsidRPr="009E7B9B" w:rsidRDefault="009E7B9B" w:rsidP="009E7B9B">
      <w:pPr>
        <w:spacing w:before="120" w:after="1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Pr="009E7B9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wolnienie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jest</w:t>
      </w:r>
      <w:r w:rsidRPr="009E7B9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ograniczone do mienia osobistego, które: </w:t>
      </w:r>
    </w:p>
    <w:p w:rsidR="009E7B9B" w:rsidRPr="009E7B9B" w:rsidRDefault="009E7B9B" w:rsidP="009E7B9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E7B9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 wyjątkiem szczególnie uzasadnionych okoliczności, pozostawało w posiadaniu oraz, w przypadku towarów nieprzeznaczonych do konsumpcji, było używane przez osobę zainteresowaną w jej poprzednim miejscu zamieszkania przez co najmniej sześć miesięcy przed </w:t>
      </w:r>
      <w:r w:rsidRPr="009E7B9B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datą, w której osoba zainteresowana przestała zamieszkiwać w państwie trzecim, które opuściła;</w:t>
      </w:r>
    </w:p>
    <w:p w:rsidR="009E7B9B" w:rsidRPr="009E7B9B" w:rsidRDefault="009E7B9B" w:rsidP="009E7B9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E7B9B">
        <w:rPr>
          <w:rFonts w:ascii="Times New Roman" w:eastAsia="Times New Roman" w:hAnsi="Times New Roman"/>
          <w:bCs/>
          <w:sz w:val="24"/>
          <w:szCs w:val="24"/>
          <w:lang w:eastAsia="pl-PL"/>
        </w:rPr>
        <w:t>jest przeznaczone do użytku w takim samym celu w nowym miejscu zamieszkania.</w:t>
      </w:r>
    </w:p>
    <w:p w:rsidR="00435661" w:rsidRPr="009E7B9B" w:rsidRDefault="009E7B9B" w:rsidP="004356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zwolnienie może zostać udzielone tylko osobom, których miejsce zamieszkania znajdowało się poza obszarem celnym Unii Europejskiej nieprzerwanie przez okres 12 miesięcy.</w:t>
      </w:r>
    </w:p>
    <w:p w:rsidR="00435661" w:rsidRDefault="00435661" w:rsidP="004356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7B9B">
        <w:rPr>
          <w:rFonts w:ascii="Times New Roman" w:hAnsi="Times New Roman" w:cs="Times New Roman"/>
          <w:sz w:val="24"/>
          <w:szCs w:val="24"/>
          <w:u w:val="single"/>
        </w:rPr>
        <w:t xml:space="preserve">Dla celów stosowania </w:t>
      </w:r>
      <w:r w:rsidR="009E7B9B" w:rsidRPr="009E7B9B">
        <w:rPr>
          <w:rFonts w:ascii="Times New Roman" w:hAnsi="Times New Roman" w:cs="Times New Roman"/>
          <w:sz w:val="24"/>
          <w:szCs w:val="24"/>
          <w:u w:val="single"/>
        </w:rPr>
        <w:t xml:space="preserve">ww. przepisów 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 xml:space="preserve">rozporządzenia </w:t>
      </w:r>
      <w:r w:rsidR="009E7B9B" w:rsidRPr="009E7B9B">
        <w:rPr>
          <w:rFonts w:ascii="Times New Roman" w:hAnsi="Times New Roman" w:cs="Times New Roman"/>
          <w:sz w:val="24"/>
          <w:szCs w:val="24"/>
          <w:u w:val="single"/>
        </w:rPr>
        <w:t xml:space="preserve">nr 1186/2009 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>przyjmuje się, że wymagany co najmniej 12</w:t>
      </w:r>
      <w:r w:rsidR="0034283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>miesięczny okres zamieszkiwania poza obszarem UE obejmuje również czas zamieszkiwania przez osobę przenosząca swoje miejsce zamieszkania w Wielkiej Brytanii przed wystąpienie</w:t>
      </w:r>
      <w:r w:rsidR="009E7B9B" w:rsidRPr="009E7B9B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 xml:space="preserve"> W</w:t>
      </w:r>
      <w:r w:rsidR="009E7B9B" w:rsidRPr="009E7B9B">
        <w:rPr>
          <w:rFonts w:ascii="Times New Roman" w:hAnsi="Times New Roman" w:cs="Times New Roman"/>
          <w:sz w:val="24"/>
          <w:szCs w:val="24"/>
          <w:u w:val="single"/>
        </w:rPr>
        <w:t xml:space="preserve">ielkiej 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9E7B9B" w:rsidRPr="009E7B9B">
        <w:rPr>
          <w:rFonts w:ascii="Times New Roman" w:hAnsi="Times New Roman" w:cs="Times New Roman"/>
          <w:sz w:val="24"/>
          <w:szCs w:val="24"/>
          <w:u w:val="single"/>
        </w:rPr>
        <w:t xml:space="preserve">rytanii 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>z U</w:t>
      </w:r>
      <w:r w:rsidR="009E7B9B" w:rsidRPr="009E7B9B">
        <w:rPr>
          <w:rFonts w:ascii="Times New Roman" w:hAnsi="Times New Roman" w:cs="Times New Roman"/>
          <w:sz w:val="24"/>
          <w:szCs w:val="24"/>
          <w:u w:val="single"/>
        </w:rPr>
        <w:t xml:space="preserve">nii 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9E7B9B" w:rsidRPr="009E7B9B">
        <w:rPr>
          <w:rFonts w:ascii="Times New Roman" w:hAnsi="Times New Roman" w:cs="Times New Roman"/>
          <w:sz w:val="24"/>
          <w:szCs w:val="24"/>
          <w:u w:val="single"/>
        </w:rPr>
        <w:t>uropejskiej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9E7B9B" w:rsidRPr="009E7B9B" w:rsidRDefault="009E7B9B" w:rsidP="009E7B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E7B9B">
        <w:rPr>
          <w:rFonts w:ascii="Times New Roman" w:eastAsia="Times New Roman" w:hAnsi="Times New Roman" w:cs="Times New Roman"/>
          <w:sz w:val="24"/>
          <w:szCs w:val="24"/>
          <w:lang w:eastAsia="pl-PL"/>
        </w:rPr>
        <w:t>wolnienia nie stosuje się do:</w:t>
      </w:r>
    </w:p>
    <w:p w:rsidR="009E7B9B" w:rsidRPr="009E7B9B" w:rsidRDefault="009E7B9B" w:rsidP="009E7B9B">
      <w:pPr>
        <w:numPr>
          <w:ilvl w:val="0"/>
          <w:numId w:val="2"/>
        </w:numPr>
        <w:tabs>
          <w:tab w:val="num" w:pos="360"/>
        </w:tabs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9B">
        <w:rPr>
          <w:rFonts w:ascii="Times New Roman" w:eastAsia="Times New Roman" w:hAnsi="Times New Roman" w:cs="Times New Roman"/>
          <w:sz w:val="24"/>
          <w:szCs w:val="24"/>
          <w:lang w:eastAsia="pl-PL"/>
        </w:rPr>
        <w:t>wyrobów alkoholowych;</w:t>
      </w:r>
    </w:p>
    <w:p w:rsidR="009E7B9B" w:rsidRPr="009E7B9B" w:rsidRDefault="009E7B9B" w:rsidP="009E7B9B">
      <w:pPr>
        <w:numPr>
          <w:ilvl w:val="0"/>
          <w:numId w:val="2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9B">
        <w:rPr>
          <w:rFonts w:ascii="Times New Roman" w:eastAsia="Times New Roman" w:hAnsi="Times New Roman" w:cs="Times New Roman"/>
          <w:sz w:val="24"/>
          <w:szCs w:val="24"/>
          <w:lang w:eastAsia="pl-PL"/>
        </w:rPr>
        <w:t>tytoniu i wyrobów tytoniowych;</w:t>
      </w:r>
    </w:p>
    <w:p w:rsidR="009E7B9B" w:rsidRPr="009E7B9B" w:rsidRDefault="009E7B9B" w:rsidP="009E7B9B">
      <w:pPr>
        <w:numPr>
          <w:ilvl w:val="0"/>
          <w:numId w:val="2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9B">
        <w:rPr>
          <w:rFonts w:ascii="Times New Roman" w:eastAsia="Times New Roman" w:hAnsi="Times New Roman" w:cs="Times New Roman"/>
          <w:sz w:val="24"/>
          <w:szCs w:val="24"/>
          <w:lang w:eastAsia="pl-PL"/>
        </w:rPr>
        <w:t>handlowych środków transportu;</w:t>
      </w:r>
    </w:p>
    <w:p w:rsidR="009E7B9B" w:rsidRPr="009E7B9B" w:rsidRDefault="009E7B9B" w:rsidP="009E7B9B">
      <w:pPr>
        <w:numPr>
          <w:ilvl w:val="0"/>
          <w:numId w:val="2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B9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przedmiotów wykorzystywanych do wykonywania rzemiosła lub zawodu, innych niż przenośne instrumenty i sprzęt potrzebny do wykonywania tych zajęć.</w:t>
      </w:r>
    </w:p>
    <w:p w:rsidR="009E7B9B" w:rsidRPr="00342831" w:rsidRDefault="00342831" w:rsidP="004356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wyjątkiem szczególnych przypadków, zwolnienie przyznawane jest tylko w odniesieniu do mienia osobistego dopuszczonego do swobodnego obrotu w ciągu 12 miesięcy od daty ustalenia przez osobę zainteresowaną miejsca zamieszkania na obszarze celnym UE. Mienie może zostać dopuszczone do swobodnego obrotu w ww. okresie w kilku oddzielnych partiach.</w:t>
      </w:r>
    </w:p>
    <w:p w:rsidR="00342831" w:rsidRPr="00342831" w:rsidRDefault="00342831" w:rsidP="004356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ciągu 12 miesięcy od daty dopuszczenia do swobodnego obrotu, mienie osobiste, które zostało zwolnione z należności celnych przywozowych, nie może być pożyczane, oddawane w zastaw, wynajmowane lub odstępowane, odpłatnie lub nieodpłatnie, bez uprzedniego poinformowania o tym właściwych organów.</w:t>
      </w:r>
    </w:p>
    <w:p w:rsidR="00342831" w:rsidRPr="00342831" w:rsidRDefault="00342831" w:rsidP="0034283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przywożone do wykorzystania w Polsce mienie osobiste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przenoszące swoje miejsce zamieszkania z wielkiej Brytanii do Polski </w:t>
      </w:r>
      <w:r w:rsidRPr="00342831">
        <w:rPr>
          <w:rFonts w:ascii="Times New Roman" w:eastAsia="Times New Roman" w:hAnsi="Times New Roman" w:cs="Times New Roman"/>
          <w:sz w:val="24"/>
          <w:szCs w:val="24"/>
          <w:lang w:eastAsia="pl-PL"/>
        </w:rPr>
        <w:t>mogło być zwolnione z należności celnych przywozowych, musi być zgłoszone organowi celnemu na terytorium Polski do procedury dopuszczenia do obrotu.</w:t>
      </w:r>
    </w:p>
    <w:p w:rsidR="00342831" w:rsidRPr="00342831" w:rsidRDefault="00342831" w:rsidP="0034283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31">
        <w:rPr>
          <w:rFonts w:ascii="Times New Roman" w:eastAsia="Calibri" w:hAnsi="Times New Roman" w:cs="Times New Roman"/>
          <w:sz w:val="24"/>
          <w:szCs w:val="24"/>
        </w:rPr>
        <w:t xml:space="preserve">Co do zasady, </w:t>
      </w:r>
      <w:r w:rsidRPr="0034283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zwolnienie z należności celnych składany jest w chwili dokonywania zgłoszenia celnego. Dlatego właściwym organem, który rozstrzyga, czy w danym przypadku może być zastosowane zwolnienie celne jest ten organ celny, który przyjmuje to zgłoszenie.</w:t>
      </w:r>
    </w:p>
    <w:p w:rsidR="00342831" w:rsidRPr="00342831" w:rsidRDefault="00342831" w:rsidP="0034283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2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Odrębną od zwolnień celnych kwestię stanowią zwolnienia od podatku akcyzowego i VAT. </w:t>
      </w:r>
      <w:r w:rsidRPr="003428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Stosowanie zwolnień towarów z należności celnych przywozowych nie pociąga bowiem za sobą w sposób automatyczny stosowania zwolnień od tych podatków. </w:t>
      </w:r>
    </w:p>
    <w:p w:rsidR="00342831" w:rsidRPr="009E7B9B" w:rsidRDefault="00342831" w:rsidP="004356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342831" w:rsidRPr="009E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24BAC"/>
    <w:multiLevelType w:val="hybridMultilevel"/>
    <w:tmpl w:val="3A6A82D4"/>
    <w:lvl w:ilvl="0" w:tplc="C53AD3AA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2E60A9"/>
    <w:multiLevelType w:val="hybridMultilevel"/>
    <w:tmpl w:val="C0E8F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61"/>
    <w:rsid w:val="0002479A"/>
    <w:rsid w:val="00164F92"/>
    <w:rsid w:val="00273093"/>
    <w:rsid w:val="0027372F"/>
    <w:rsid w:val="00342831"/>
    <w:rsid w:val="00435661"/>
    <w:rsid w:val="009E7B9B"/>
    <w:rsid w:val="00A673D2"/>
    <w:rsid w:val="00DB7056"/>
    <w:rsid w:val="00DD0DAA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787CF-2805-4BB8-89AF-5B553FA9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2020-12-10T14:05:00Z</dcterms:created>
  <dcterms:modified xsi:type="dcterms:W3CDTF">2020-12-10T14:05:00Z</dcterms:modified>
</cp:coreProperties>
</file>