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54" w:rsidRPr="008F2154" w:rsidRDefault="008F2154" w:rsidP="008F2154">
      <w:pPr>
        <w:pStyle w:val="Tytu"/>
        <w:rPr>
          <w:rFonts w:asciiTheme="minorHAnsi" w:hAnsiTheme="minorHAnsi" w:cstheme="minorHAnsi"/>
          <w:b/>
          <w:sz w:val="28"/>
          <w:szCs w:val="28"/>
        </w:rPr>
      </w:pPr>
      <w:r w:rsidRPr="008F2154">
        <w:rPr>
          <w:rFonts w:asciiTheme="minorHAnsi" w:hAnsiTheme="minorHAnsi" w:cstheme="minorHAnsi"/>
          <w:b/>
          <w:sz w:val="28"/>
          <w:szCs w:val="28"/>
        </w:rPr>
        <w:t>Zmiana w harmonogramie wprowadzania nowych procesów kontroli granicznej w imporcie towarów z UE do Wielkiej Brytanii</w:t>
      </w:r>
    </w:p>
    <w:p w:rsidR="008F2154" w:rsidRPr="008F2154" w:rsidRDefault="008F2154" w:rsidP="008F2154">
      <w:pPr>
        <w:rPr>
          <w:sz w:val="24"/>
          <w:szCs w:val="24"/>
        </w:rPr>
      </w:pPr>
      <w:bookmarkStart w:id="0" w:name="_GoBack"/>
      <w:bookmarkEnd w:id="0"/>
    </w:p>
    <w:p w:rsidR="008F2154" w:rsidRPr="008F2154" w:rsidRDefault="008F2154" w:rsidP="008F2154">
      <w:pPr>
        <w:rPr>
          <w:sz w:val="24"/>
          <w:szCs w:val="24"/>
        </w:rPr>
      </w:pPr>
      <w:r w:rsidRPr="008F2154">
        <w:rPr>
          <w:sz w:val="24"/>
          <w:szCs w:val="24"/>
        </w:rPr>
        <w:t>11 marca Wielka Brytania ogłosiła zmieniony harmonogram wprowadzania kontroli granicznych.</w:t>
      </w:r>
    </w:p>
    <w:p w:rsidR="008F2154" w:rsidRPr="008F2154" w:rsidRDefault="008F2154" w:rsidP="008F2154">
      <w:pPr>
        <w:rPr>
          <w:sz w:val="24"/>
          <w:szCs w:val="24"/>
        </w:rPr>
      </w:pPr>
      <w:r w:rsidRPr="008F2154">
        <w:rPr>
          <w:sz w:val="24"/>
          <w:szCs w:val="24"/>
        </w:rPr>
        <w:t>Pierwotny harmonogram obejmował stopniowe wprowadzanie kontroli importu z UE do Wielkiej Brytanii, aby zapewnić firmom czas na przygotowanie się do zmian. Decyzję o etapowym podejściu podjęto w oparciu o skutki pierwszej fali COVID. Zakłócenia spowodowane przez COVID trwają dłużej i są głębsze, niż początkowo zakładano. W związku z powyższym, rząd Wielkiej Brytanii podjął decyzję o aktualizacji pierwotnego harmonogramu: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Wymogi uprzedniego zgłaszania produktów pochodzenia zwierzęcego (POAO), niektórych produktów ubocznych pochodzenia zwierzęcego (PUPZ) i żywności wysokiego ryzyka niepochodzącej od zwierząt (HRFNAO) zaczną obowiązywać od 1 października 2021 r. Wymogi dotyczące eksportowego świadectwa zdrowia dla POAO i dla niektórych PUPZ wejdą w życie tego samego dnia.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Zgłoszenia celne importowe nadal będą wymagane, ale możliwość korzystania z odroczonego zgłoszenia, w tym składania zgłoszeń uzupełniających do sześciu miesięcy po imporcie towarów, została przedłużona do 1 stycznia 2022 r.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Deklaracje bezpieczeństwa i ochrony dla importu nie będą wymagane do 1 stycznia 2022 r.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Fizyczne kontrole SPS dla POAO, niektórych PUPZ i HRFNAO nie będą wymagane do 1 stycznia 2022 r. Od 1 stycznia będą się one odbywać w punktach kontroli granicznej.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Fizyczne kontrole SPS w zakładach o wysokim priorytecie będą kontynuowane w miejscach przeznaczenia do 1 stycznia 2022 r., kiedy to zostaną przeniesione do punktów kontroli granicznej.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Od 1 stycznia 2022 r. Wymóg wstępnego powiadamiania, świadectw fitosanitarnych i kontroli dokumentów zostanie rozszerzony na wszystkie objęte regulacjami rośliny i produkty roślinne (tj. nie tylko te, które mają „wysoki priorytet”).</w:t>
      </w:r>
    </w:p>
    <w:p w:rsidR="008F2154" w:rsidRPr="008F2154" w:rsidRDefault="008F2154" w:rsidP="008F215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2154">
        <w:rPr>
          <w:sz w:val="24"/>
          <w:szCs w:val="24"/>
        </w:rPr>
        <w:t>Od marca 2022 r. w punktach kontroli granicznej będą odbywać się kontrole żywych zwierząt oraz wszystkich roślin i produktów roślinnych objętych regulacjami (tj. nie tylko tych, które mają „wysoki priorytet”).</w:t>
      </w:r>
    </w:p>
    <w:p w:rsidR="008F2154" w:rsidRPr="008F2154" w:rsidRDefault="008F2154" w:rsidP="008F2154">
      <w:pPr>
        <w:rPr>
          <w:sz w:val="24"/>
          <w:szCs w:val="24"/>
        </w:rPr>
      </w:pPr>
      <w:r w:rsidRPr="008F2154">
        <w:rPr>
          <w:sz w:val="24"/>
          <w:szCs w:val="24"/>
        </w:rPr>
        <w:t>Wymagania dotyczące handlu między Wielką Brytanią a UE, które zostały już wdrożone 1 stycznia 2020 r., pozostają aktualne.</w:t>
      </w:r>
    </w:p>
    <w:p w:rsidR="00D95C10" w:rsidRDefault="008F2154" w:rsidP="008F2154">
      <w:pPr>
        <w:rPr>
          <w:sz w:val="24"/>
          <w:szCs w:val="24"/>
        </w:rPr>
      </w:pPr>
      <w:r w:rsidRPr="008F2154">
        <w:rPr>
          <w:sz w:val="24"/>
          <w:szCs w:val="24"/>
        </w:rPr>
        <w:t xml:space="preserve">W przypadku pytań dotyczących handlu między Polską a Wielką Brytanią należy kontaktować się z Ambasadą Brytyjską: </w:t>
      </w:r>
      <w:hyperlink r:id="rId5" w:history="1">
        <w:r w:rsidRPr="001B193B">
          <w:rPr>
            <w:rStyle w:val="Hipercze"/>
            <w:sz w:val="24"/>
            <w:szCs w:val="24"/>
          </w:rPr>
          <w:t>Poland.KeepBusinessMoving@fcdo.gov.uk</w:t>
        </w:r>
      </w:hyperlink>
    </w:p>
    <w:p w:rsidR="008F2154" w:rsidRPr="008F2154" w:rsidRDefault="008F2154" w:rsidP="008F2154">
      <w:pPr>
        <w:rPr>
          <w:sz w:val="24"/>
          <w:szCs w:val="24"/>
        </w:rPr>
      </w:pPr>
    </w:p>
    <w:sectPr w:rsidR="008F2154" w:rsidRPr="008F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C58D3"/>
    <w:multiLevelType w:val="hybridMultilevel"/>
    <w:tmpl w:val="CD0E0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6E24"/>
    <w:multiLevelType w:val="hybridMultilevel"/>
    <w:tmpl w:val="BFC0AD88"/>
    <w:lvl w:ilvl="0" w:tplc="8A3CB81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54"/>
    <w:rsid w:val="008F2154"/>
    <w:rsid w:val="00D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A621-9D06-4DAF-BD5B-477433E6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F2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8F21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2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and.KeepBusinessMoving@fcdo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2021-03-17T07:43:00Z</dcterms:created>
  <dcterms:modified xsi:type="dcterms:W3CDTF">2021-03-17T07:47:00Z</dcterms:modified>
</cp:coreProperties>
</file>